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C4D" w:rsidRDefault="00AB7C4D" w:rsidP="00AB7C4D">
      <w:pPr>
        <w:spacing w:line="640" w:lineRule="exact"/>
        <w:jc w:val="center"/>
        <w:rPr>
          <w:rFonts w:ascii="宋体-PUA" w:eastAsia="宋体-PUA" w:hAnsi="宋体-PUA"/>
          <w:bCs/>
          <w:sz w:val="36"/>
          <w:szCs w:val="36"/>
        </w:rPr>
      </w:pPr>
      <w:r>
        <w:rPr>
          <w:rFonts w:ascii="宋体-PUA" w:eastAsia="宋体-PUA" w:hAnsi="宋体-PUA" w:hint="eastAsia"/>
          <w:b/>
          <w:sz w:val="32"/>
          <w:szCs w:val="36"/>
        </w:rPr>
        <w:t>植物科学技术学院研究生</w:t>
      </w:r>
      <w:bookmarkStart w:id="0" w:name="_GoBack"/>
      <w:r>
        <w:rPr>
          <w:rFonts w:ascii="宋体-PUA" w:eastAsia="宋体-PUA" w:hAnsi="宋体-PUA" w:hint="eastAsia"/>
          <w:b/>
          <w:sz w:val="32"/>
          <w:szCs w:val="36"/>
        </w:rPr>
        <w:t>学业奖学金评审实施细则</w:t>
      </w:r>
      <w:bookmarkEnd w:id="0"/>
    </w:p>
    <w:p w:rsidR="00FF0136" w:rsidRDefault="00FF0136" w:rsidP="00AB7C4D">
      <w:pPr>
        <w:shd w:val="solid" w:color="FFFFFF" w:fill="auto"/>
        <w:autoSpaceDN w:val="0"/>
        <w:spacing w:line="440" w:lineRule="exact"/>
        <w:ind w:firstLineChars="200" w:firstLine="562"/>
        <w:rPr>
          <w:rFonts w:ascii="宋体" w:hAnsi="宋体" w:cs="宋体"/>
          <w:b/>
          <w:sz w:val="28"/>
          <w:szCs w:val="36"/>
        </w:rPr>
      </w:pPr>
    </w:p>
    <w:p w:rsidR="00AB7C4D" w:rsidRDefault="00AB7C4D" w:rsidP="00AB7C4D">
      <w:pPr>
        <w:shd w:val="solid" w:color="FFFFFF" w:fill="auto"/>
        <w:autoSpaceDN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为支持研究生在全面实行教育收费情况下完成学业，激励研究生勤奋学习、潜心科研、勇于创新、积极进取，切实做好研究生学业奖学金评审工作，根据《学校研究生教育收费及奖助体系改革方案》（校发[2014]108号)、《学校研究生学业奖学金管理办法（试行）》（校发[2014]109号）文件精神，《关于做好2014年研究生学业奖学金评选工作的通知》（校发[2014]111号）等文件精神，结合学院实际，特制订本细则。</w:t>
      </w:r>
    </w:p>
    <w:p w:rsidR="00AB7C4D" w:rsidRDefault="00AB7C4D" w:rsidP="00AB7C4D">
      <w:pPr>
        <w:spacing w:beforeLines="50" w:before="156" w:line="560" w:lineRule="exact"/>
        <w:ind w:firstLineChars="200" w:firstLine="562"/>
        <w:rPr>
          <w:rFonts w:ascii="宋体-PUA" w:eastAsia="宋体-PUA" w:hAnsi="宋体-PUA" w:cs="Times New Roman"/>
          <w:b/>
          <w:bCs/>
          <w:sz w:val="28"/>
          <w:szCs w:val="28"/>
        </w:rPr>
      </w:pPr>
      <w:r>
        <w:rPr>
          <w:rFonts w:ascii="宋体-PUA" w:eastAsia="宋体-PUA" w:hAnsi="宋体-PUA" w:hint="eastAsia"/>
          <w:b/>
          <w:bCs/>
          <w:sz w:val="28"/>
          <w:szCs w:val="28"/>
        </w:rPr>
        <w:t>第一条 评审对象</w:t>
      </w:r>
    </w:p>
    <w:p w:rsidR="00AB7C4D" w:rsidRDefault="00AB7C4D" w:rsidP="00AB7C4D">
      <w:pPr>
        <w:spacing w:line="560" w:lineRule="exact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（一）评审对象</w:t>
      </w:r>
    </w:p>
    <w:p w:rsidR="00AB7C4D" w:rsidRDefault="00AB7C4D" w:rsidP="00AB7C4D">
      <w:pPr>
        <w:spacing w:line="56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具有中华人民共和国国籍、纳入全国研究生招生计划的全日制在籍研究生（无固定工资收入，人事档案完全转入我校且按照要求交纳学费）。</w:t>
      </w:r>
    </w:p>
    <w:p w:rsidR="00AB7C4D" w:rsidRDefault="00AB7C4D" w:rsidP="00AB7C4D">
      <w:pPr>
        <w:spacing w:beforeLines="50" w:before="156" w:line="560" w:lineRule="exact"/>
        <w:ind w:firstLineChars="200" w:firstLine="562"/>
        <w:rPr>
          <w:rFonts w:ascii="宋体-PUA" w:eastAsia="宋体-PUA" w:hAnsi="宋体-PUA"/>
          <w:b/>
          <w:bCs/>
          <w:sz w:val="28"/>
          <w:szCs w:val="28"/>
        </w:rPr>
      </w:pPr>
      <w:r>
        <w:rPr>
          <w:rFonts w:ascii="宋体-PUA" w:eastAsia="宋体-PUA" w:hAnsi="宋体-PUA" w:hint="eastAsia"/>
          <w:b/>
          <w:bCs/>
          <w:sz w:val="28"/>
          <w:szCs w:val="28"/>
        </w:rPr>
        <w:t>第二条 申请条件</w:t>
      </w:r>
    </w:p>
    <w:p w:rsidR="00AB7C4D" w:rsidRDefault="00AB7C4D" w:rsidP="00AB7C4D">
      <w:pPr>
        <w:spacing w:line="560" w:lineRule="exact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（一）热爱社会主义祖国，拥护中国共产党的领导；</w:t>
      </w:r>
    </w:p>
    <w:p w:rsidR="00AB7C4D" w:rsidRDefault="00AB7C4D" w:rsidP="00AB7C4D">
      <w:pPr>
        <w:spacing w:line="56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（二）遵守宪法和法律，遵守学校规章制度；</w:t>
      </w:r>
    </w:p>
    <w:p w:rsidR="00AB7C4D" w:rsidRDefault="00AB7C4D" w:rsidP="00AB7C4D">
      <w:pPr>
        <w:spacing w:line="56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（三）诚实守信，品学兼优；</w:t>
      </w:r>
    </w:p>
    <w:p w:rsidR="00AB7C4D" w:rsidRDefault="00AB7C4D" w:rsidP="00AB7C4D">
      <w:pPr>
        <w:spacing w:line="56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（四）积极参与科学研究和社会实践。</w:t>
      </w:r>
    </w:p>
    <w:p w:rsidR="00AB7C4D" w:rsidRDefault="00AB7C4D" w:rsidP="00AB7C4D">
      <w:pPr>
        <w:spacing w:line="56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（五）研究生有下列情况之一，取消当年学业奖学金的评定资格：</w:t>
      </w:r>
    </w:p>
    <w:p w:rsidR="00AB7C4D" w:rsidRDefault="00AB7C4D" w:rsidP="00AB7C4D">
      <w:pPr>
        <w:spacing w:line="56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1.未经学校批准在规定时间内未缴纳学费或未完成注册手续；</w:t>
      </w:r>
    </w:p>
    <w:p w:rsidR="00AB7C4D" w:rsidRDefault="00AB7C4D" w:rsidP="00AB7C4D">
      <w:pPr>
        <w:spacing w:line="56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2.存在学术不端行为；</w:t>
      </w:r>
    </w:p>
    <w:p w:rsidR="00AB7C4D" w:rsidRDefault="00AB7C4D" w:rsidP="00AB7C4D">
      <w:pPr>
        <w:spacing w:line="56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3.参加非法组织及活动；</w:t>
      </w:r>
    </w:p>
    <w:p w:rsidR="00AB7C4D" w:rsidRDefault="00AB7C4D" w:rsidP="00AB7C4D">
      <w:pPr>
        <w:spacing w:line="56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4.因违法违规受到学校纪律处分。</w:t>
      </w:r>
    </w:p>
    <w:p w:rsidR="00AB7C4D" w:rsidRDefault="00AB7C4D" w:rsidP="00AB7C4D">
      <w:pPr>
        <w:spacing w:line="46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(六)研究生出现下列情况，学业奖学金暂停发放或进行相应调整。</w:t>
      </w:r>
    </w:p>
    <w:p w:rsidR="00AB7C4D" w:rsidRDefault="00AB7C4D" w:rsidP="00AB7C4D">
      <w:pPr>
        <w:spacing w:line="46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1.研究生休学或保留学籍期间，暂停发放研究生学业奖学金；</w:t>
      </w:r>
    </w:p>
    <w:p w:rsidR="00AB7C4D" w:rsidRDefault="00AB7C4D" w:rsidP="00AB7C4D">
      <w:pPr>
        <w:spacing w:line="46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2.研究生因故退学、转学或其他原因终止学业者，从注销或转出学籍之日起，停发学年学业奖学金。</w:t>
      </w:r>
    </w:p>
    <w:p w:rsidR="00AB7C4D" w:rsidRDefault="00AB7C4D" w:rsidP="00AB7C4D">
      <w:pPr>
        <w:spacing w:beforeLines="50" w:before="156" w:line="560" w:lineRule="exact"/>
        <w:ind w:firstLineChars="200" w:firstLine="562"/>
        <w:rPr>
          <w:rFonts w:ascii="宋体-PUA" w:eastAsia="宋体-PUA" w:hAnsi="宋体-PUA"/>
          <w:b/>
          <w:bCs/>
          <w:sz w:val="28"/>
          <w:szCs w:val="28"/>
        </w:rPr>
      </w:pPr>
      <w:r>
        <w:rPr>
          <w:rFonts w:ascii="宋体-PUA" w:eastAsia="宋体-PUA" w:hAnsi="宋体-PUA" w:hint="eastAsia"/>
          <w:b/>
          <w:bCs/>
          <w:sz w:val="28"/>
          <w:szCs w:val="28"/>
        </w:rPr>
        <w:lastRenderedPageBreak/>
        <w:t>第三条 申请类别</w:t>
      </w:r>
    </w:p>
    <w:p w:rsidR="00AB7C4D" w:rsidRDefault="00AB7C4D" w:rsidP="00AB7C4D">
      <w:pPr>
        <w:spacing w:line="560" w:lineRule="exact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(一)硕博连读、提前攻博研究生，转入博士阶段之前按硕士研究生身份申请学业奖学金，转入博士阶段之后以博士研究生身份申请学业奖学金。</w:t>
      </w:r>
    </w:p>
    <w:p w:rsidR="00AB7C4D" w:rsidRDefault="00AB7C4D" w:rsidP="00AB7C4D">
      <w:pPr>
        <w:spacing w:line="56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二）学术型硕士研究生学习年限超过3年、专业学位硕士研究生学习年限超过2年、统考统招博士研究生学习年限超过3年、提前攻博或硕博连读研究生转入博士阶段学习年限超过3年，不再缴纳学费，亦不再评定学业奖学金。</w:t>
      </w:r>
    </w:p>
    <w:p w:rsidR="00AB7C4D" w:rsidRDefault="00AB7C4D" w:rsidP="00AB7C4D">
      <w:pPr>
        <w:spacing w:beforeLines="50" w:before="156" w:line="560" w:lineRule="exact"/>
        <w:ind w:firstLineChars="200" w:firstLine="562"/>
        <w:rPr>
          <w:rFonts w:ascii="宋体-PUA" w:eastAsia="宋体-PUA" w:hAnsi="宋体-PUA"/>
          <w:b/>
          <w:bCs/>
          <w:sz w:val="28"/>
          <w:szCs w:val="28"/>
        </w:rPr>
      </w:pPr>
      <w:r>
        <w:rPr>
          <w:rFonts w:ascii="宋体-PUA" w:eastAsia="宋体-PUA" w:hAnsi="宋体-PUA" w:hint="eastAsia"/>
          <w:b/>
          <w:bCs/>
          <w:sz w:val="28"/>
          <w:szCs w:val="28"/>
        </w:rPr>
        <w:t>第四条 奖励等级与标准</w:t>
      </w:r>
    </w:p>
    <w:p w:rsidR="00AB7C4D" w:rsidRDefault="00AB7C4D" w:rsidP="00AB7C4D">
      <w:pPr>
        <w:spacing w:line="560" w:lineRule="exact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硕士研究生学业奖学金设甲、乙、丙三个等级，奖励标准为：甲等每生每学年10000元，乙等8000元，丙等4000元。甲等、乙等、丙等奖学金奖励比例总体分配：一年级按40%：30%：30%，二、三年级按20%：60%：20%。</w:t>
      </w:r>
    </w:p>
    <w:p w:rsidR="00AB7C4D" w:rsidRDefault="00AB7C4D" w:rsidP="00AB7C4D">
      <w:pPr>
        <w:spacing w:line="56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博士研究生学业奖学金不设等级，奖励标准为每生每学年14000元，比例100%。</w:t>
      </w:r>
    </w:p>
    <w:p w:rsidR="00AB7C4D" w:rsidRDefault="00AB7C4D" w:rsidP="00AB7C4D">
      <w:pPr>
        <w:spacing w:beforeLines="50" w:before="156" w:line="560" w:lineRule="exact"/>
        <w:ind w:firstLineChars="200" w:firstLine="562"/>
        <w:rPr>
          <w:rFonts w:ascii="宋体-PUA" w:eastAsia="宋体-PUA" w:hAnsi="宋体-PUA"/>
          <w:b/>
          <w:bCs/>
          <w:sz w:val="28"/>
          <w:szCs w:val="28"/>
        </w:rPr>
      </w:pPr>
      <w:r>
        <w:rPr>
          <w:rFonts w:ascii="宋体-PUA" w:eastAsia="宋体-PUA" w:hAnsi="宋体-PUA" w:hint="eastAsia"/>
          <w:b/>
          <w:bCs/>
          <w:sz w:val="28"/>
          <w:szCs w:val="28"/>
        </w:rPr>
        <w:t>第五条 评审实施</w:t>
      </w:r>
    </w:p>
    <w:p w:rsidR="00AB7C4D" w:rsidRDefault="00AB7C4D" w:rsidP="00AB7C4D">
      <w:pPr>
        <w:spacing w:line="460" w:lineRule="exact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（一）评审组织单元</w:t>
      </w:r>
    </w:p>
    <w:p w:rsidR="00AB7C4D" w:rsidRDefault="00AB7C4D" w:rsidP="00AB7C4D">
      <w:pPr>
        <w:spacing w:line="56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1、学术型硕士、专业型硕士采取分类评选；</w:t>
      </w:r>
    </w:p>
    <w:p w:rsidR="00AB7C4D" w:rsidRDefault="00AB7C4D" w:rsidP="00AB7C4D">
      <w:pPr>
        <w:spacing w:line="56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2、学术型硕士学业奖学金的等级与名额划分到遗传育种、栽培耕作、植物病理、农业昆虫、农药学、应用真菌、生物质能、药用植物8个评审组织单元；</w:t>
      </w:r>
    </w:p>
    <w:p w:rsidR="00AB7C4D" w:rsidRDefault="00AB7C4D" w:rsidP="00AB7C4D">
      <w:pPr>
        <w:spacing w:line="56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3、专业型硕士（包括联合培养）学业奖学金的等级与名额划分按照一级学科（作物学、植物保护）进行分类评选</w:t>
      </w:r>
      <w:r w:rsidR="00331451">
        <w:rPr>
          <w:rFonts w:ascii="宋体" w:hAnsi="宋体" w:hint="eastAsia"/>
          <w:sz w:val="24"/>
          <w:szCs w:val="28"/>
        </w:rPr>
        <w:t>；</w:t>
      </w:r>
    </w:p>
    <w:p w:rsidR="00AB7C4D" w:rsidRDefault="00AB7C4D" w:rsidP="00AB7C4D">
      <w:pPr>
        <w:spacing w:line="56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4、</w:t>
      </w:r>
      <w:r>
        <w:rPr>
          <w:rFonts w:ascii="宋体" w:hAnsi="宋体"/>
          <w:sz w:val="24"/>
          <w:szCs w:val="28"/>
        </w:rPr>
        <w:t>博士按照</w:t>
      </w:r>
      <w:r>
        <w:rPr>
          <w:rFonts w:ascii="宋体" w:hAnsi="宋体" w:hint="eastAsia"/>
          <w:sz w:val="24"/>
          <w:szCs w:val="28"/>
        </w:rPr>
        <w:t>在读学籍</w:t>
      </w:r>
      <w:r w:rsidR="00F013D5">
        <w:rPr>
          <w:rFonts w:ascii="宋体" w:hAnsi="宋体" w:hint="eastAsia"/>
          <w:sz w:val="24"/>
          <w:szCs w:val="28"/>
        </w:rPr>
        <w:t>学制</w:t>
      </w:r>
      <w:r>
        <w:rPr>
          <w:rFonts w:ascii="宋体" w:hAnsi="宋体"/>
          <w:sz w:val="24"/>
          <w:szCs w:val="28"/>
        </w:rPr>
        <w:t>评选。</w:t>
      </w:r>
    </w:p>
    <w:p w:rsidR="00AB7C4D" w:rsidRDefault="00AB7C4D" w:rsidP="00AB7C4D">
      <w:pPr>
        <w:spacing w:line="46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（二）评审成绩</w:t>
      </w:r>
    </w:p>
    <w:p w:rsidR="00AB7C4D" w:rsidRDefault="00AB7C4D" w:rsidP="00AB7C4D">
      <w:pPr>
        <w:spacing w:line="460" w:lineRule="exact"/>
        <w:ind w:firstLineChars="200" w:firstLine="482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b/>
          <w:bCs/>
          <w:sz w:val="24"/>
          <w:szCs w:val="28"/>
        </w:rPr>
        <w:t>1.硕士研究生第一学年的学业奖学金评定。</w:t>
      </w:r>
      <w:r>
        <w:rPr>
          <w:rFonts w:ascii="宋体" w:hAnsi="宋体" w:hint="eastAsia"/>
          <w:sz w:val="24"/>
          <w:szCs w:val="28"/>
          <w:u w:val="double"/>
        </w:rPr>
        <w:t>按照研究生录取成绩</w:t>
      </w:r>
      <w:r>
        <w:rPr>
          <w:rFonts w:ascii="宋体" w:hAnsi="宋体" w:hint="eastAsia"/>
          <w:sz w:val="24"/>
          <w:szCs w:val="28"/>
        </w:rPr>
        <w:t>（考试笔试成绩和复试成绩的折合）评定。其中：</w:t>
      </w:r>
    </w:p>
    <w:p w:rsidR="00AB7C4D" w:rsidRDefault="00AB7C4D" w:rsidP="00AB7C4D">
      <w:pPr>
        <w:spacing w:line="46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cs="宋体" w:hint="eastAsia"/>
          <w:color w:val="000000"/>
          <w:kern w:val="0"/>
          <w:sz w:val="24"/>
          <w:szCs w:val="28"/>
        </w:rPr>
        <w:t>（1）</w:t>
      </w:r>
      <w:r>
        <w:rPr>
          <w:rFonts w:cs="宋体" w:hint="eastAsia"/>
          <w:color w:val="000000"/>
          <w:kern w:val="0"/>
          <w:sz w:val="24"/>
          <w:szCs w:val="24"/>
        </w:rPr>
        <w:t>全日制普通本科学历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211</w:t>
      </w:r>
      <w:r>
        <w:rPr>
          <w:rFonts w:cs="宋体" w:hint="eastAsia"/>
          <w:color w:val="000000"/>
          <w:kern w:val="0"/>
          <w:sz w:val="24"/>
          <w:szCs w:val="24"/>
        </w:rPr>
        <w:t>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985</w:t>
      </w:r>
      <w:r>
        <w:rPr>
          <w:rFonts w:cs="宋体" w:hint="eastAsia"/>
          <w:color w:val="000000"/>
          <w:kern w:val="0"/>
          <w:sz w:val="24"/>
          <w:szCs w:val="24"/>
        </w:rPr>
        <w:t>高校和省属院校推免攻读我院硕士学位的</w:t>
      </w:r>
      <w:r>
        <w:rPr>
          <w:rFonts w:cs="宋体" w:hint="eastAsia"/>
          <w:b/>
          <w:color w:val="000000"/>
          <w:kern w:val="0"/>
          <w:sz w:val="24"/>
          <w:szCs w:val="24"/>
        </w:rPr>
        <w:t>直接评定</w:t>
      </w:r>
      <w:r>
        <w:rPr>
          <w:rFonts w:cs="宋体" w:hint="eastAsia"/>
          <w:color w:val="000000"/>
          <w:kern w:val="0"/>
          <w:sz w:val="24"/>
          <w:szCs w:val="24"/>
        </w:rPr>
        <w:t>甲等学业奖学金</w:t>
      </w:r>
      <w:r>
        <w:rPr>
          <w:rFonts w:ascii="宋体" w:hAnsi="宋体" w:cs="宋体" w:hint="eastAsia"/>
          <w:color w:val="000000"/>
          <w:kern w:val="0"/>
          <w:sz w:val="24"/>
          <w:szCs w:val="28"/>
        </w:rPr>
        <w:t>；</w:t>
      </w:r>
    </w:p>
    <w:p w:rsidR="00AB7C4D" w:rsidRDefault="00AB7C4D" w:rsidP="00AB7C4D">
      <w:pPr>
        <w:widowControl/>
        <w:spacing w:line="460" w:lineRule="exact"/>
        <w:ind w:firstLineChars="150" w:firstLine="360"/>
        <w:jc w:val="left"/>
        <w:rPr>
          <w:rFonts w:ascii="宋体" w:hAnsi="宋体" w:cs="宋体"/>
          <w:color w:val="000000"/>
          <w:kern w:val="0"/>
          <w:sz w:val="24"/>
          <w:szCs w:val="28"/>
        </w:rPr>
      </w:pPr>
      <w:r>
        <w:rPr>
          <w:rFonts w:ascii="宋体" w:hAnsi="宋体" w:cs="宋体" w:hint="eastAsia"/>
          <w:color w:val="000000"/>
          <w:kern w:val="0"/>
          <w:sz w:val="24"/>
          <w:szCs w:val="28"/>
        </w:rPr>
        <w:lastRenderedPageBreak/>
        <w:t>（2）第一志愿考取我院硕士研究生的夏令营“优秀学员”，其1-6学期学分绩点GPA专业年级排名前50%以内，或硕士入学考试成绩排名列所在二级学科考生的前30%以内，</w:t>
      </w:r>
      <w:r>
        <w:rPr>
          <w:rFonts w:ascii="宋体" w:hAnsi="宋体" w:cs="宋体" w:hint="eastAsia"/>
          <w:b/>
          <w:color w:val="000000"/>
          <w:kern w:val="0"/>
          <w:sz w:val="24"/>
          <w:szCs w:val="28"/>
        </w:rPr>
        <w:t>直接评定</w:t>
      </w:r>
      <w:r>
        <w:rPr>
          <w:rFonts w:ascii="宋体" w:hAnsi="宋体" w:cs="宋体" w:hint="eastAsia"/>
          <w:color w:val="000000"/>
          <w:kern w:val="0"/>
          <w:sz w:val="24"/>
          <w:szCs w:val="28"/>
        </w:rPr>
        <w:t xml:space="preserve">甲等学业奖学金； </w:t>
      </w:r>
    </w:p>
    <w:p w:rsidR="00AB7C4D" w:rsidRDefault="00AB7C4D" w:rsidP="00AB7C4D">
      <w:pPr>
        <w:spacing w:line="460" w:lineRule="exact"/>
        <w:ind w:firstLineChars="150" w:firstLine="360"/>
        <w:rPr>
          <w:rFonts w:ascii="宋体" w:hAnsi="宋体" w:cs="Times New Roman"/>
          <w:sz w:val="24"/>
          <w:szCs w:val="28"/>
        </w:rPr>
      </w:pPr>
      <w:r>
        <w:rPr>
          <w:rFonts w:ascii="宋体" w:hAnsi="宋体" w:cs="宋体" w:hint="eastAsia"/>
          <w:color w:val="000000"/>
          <w:kern w:val="0"/>
          <w:sz w:val="24"/>
          <w:szCs w:val="28"/>
        </w:rPr>
        <w:t>（3）</w:t>
      </w:r>
      <w:r>
        <w:rPr>
          <w:rFonts w:cs="宋体" w:hint="eastAsia"/>
          <w:color w:val="000000"/>
          <w:kern w:val="0"/>
          <w:sz w:val="24"/>
          <w:szCs w:val="24"/>
        </w:rPr>
        <w:t>全日制普通本科学历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211</w:t>
      </w:r>
      <w:r>
        <w:rPr>
          <w:rFonts w:cs="宋体" w:hint="eastAsia"/>
          <w:color w:val="000000"/>
          <w:kern w:val="0"/>
          <w:sz w:val="24"/>
          <w:szCs w:val="24"/>
        </w:rPr>
        <w:t>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985</w:t>
      </w:r>
      <w:r>
        <w:rPr>
          <w:rFonts w:cs="宋体" w:hint="eastAsia"/>
          <w:color w:val="000000"/>
          <w:kern w:val="0"/>
          <w:sz w:val="24"/>
          <w:szCs w:val="24"/>
        </w:rPr>
        <w:t>高校本科生第一志愿考取我院硕士研究生，且硕士入学考试笔试和面试总成绩排名列所在学科考生的前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30%</w:t>
      </w:r>
      <w:r>
        <w:rPr>
          <w:rFonts w:cs="宋体" w:hint="eastAsia"/>
          <w:color w:val="000000"/>
          <w:kern w:val="0"/>
          <w:sz w:val="24"/>
          <w:szCs w:val="24"/>
        </w:rPr>
        <w:t>以内的，按成绩</w:t>
      </w:r>
      <w:r>
        <w:rPr>
          <w:rFonts w:cs="宋体" w:hint="eastAsia"/>
          <w:b/>
          <w:color w:val="000000"/>
          <w:kern w:val="0"/>
          <w:sz w:val="24"/>
          <w:szCs w:val="24"/>
        </w:rPr>
        <w:t>优先评定</w:t>
      </w:r>
      <w:r>
        <w:rPr>
          <w:rFonts w:cs="宋体" w:hint="eastAsia"/>
          <w:color w:val="000000"/>
          <w:kern w:val="0"/>
          <w:sz w:val="24"/>
          <w:szCs w:val="24"/>
        </w:rPr>
        <w:t>甲等奖学金</w:t>
      </w:r>
      <w:r>
        <w:rPr>
          <w:rFonts w:ascii="宋体" w:hAnsi="宋体" w:cs="宋体" w:hint="eastAsia"/>
          <w:color w:val="000000"/>
          <w:kern w:val="0"/>
          <w:sz w:val="24"/>
          <w:szCs w:val="28"/>
        </w:rPr>
        <w:t>。</w:t>
      </w:r>
    </w:p>
    <w:p w:rsidR="00AB7C4D" w:rsidRDefault="00AB7C4D" w:rsidP="00AB7C4D">
      <w:pPr>
        <w:spacing w:line="460" w:lineRule="exact"/>
        <w:ind w:firstLineChars="200" w:firstLine="482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b/>
          <w:bCs/>
          <w:sz w:val="24"/>
          <w:szCs w:val="28"/>
        </w:rPr>
        <w:t>2.硕士研究生第二学年的学业奖学金评定。</w:t>
      </w:r>
      <w:r>
        <w:rPr>
          <w:rFonts w:ascii="宋体" w:hAnsi="宋体" w:hint="eastAsia"/>
          <w:sz w:val="24"/>
          <w:szCs w:val="28"/>
        </w:rPr>
        <w:t>按照 《植物科学技术学院研究生学年度综合测评办法（试行稿）》(见附件1),对研究生上一学年的学业（课程）、学术（成果）、公益（工作）、法纪行为等方面进行综合测评。根据测评结果在相应的评审组织单元内评定学业奖学金。测评成果统计时间为相应学年的9月1日至次年8月31日止。</w:t>
      </w:r>
    </w:p>
    <w:p w:rsidR="00AB7C4D" w:rsidRDefault="00AB7C4D" w:rsidP="00AB7C4D">
      <w:pPr>
        <w:spacing w:line="460" w:lineRule="exact"/>
        <w:ind w:firstLineChars="200" w:firstLine="482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b/>
          <w:bCs/>
          <w:sz w:val="24"/>
          <w:szCs w:val="28"/>
        </w:rPr>
        <w:t>3.学术型硕士研究生第三学年的学业奖学金评定。</w:t>
      </w:r>
      <w:r>
        <w:rPr>
          <w:rFonts w:ascii="宋体" w:hAnsi="宋体" w:hint="eastAsia"/>
          <w:sz w:val="24"/>
          <w:szCs w:val="28"/>
        </w:rPr>
        <w:t>评定遵守原则如下：</w:t>
      </w:r>
    </w:p>
    <w:p w:rsidR="00C367FA" w:rsidRPr="00C367FA" w:rsidRDefault="00C367FA" w:rsidP="00C367FA">
      <w:pPr>
        <w:spacing w:line="460" w:lineRule="exact"/>
        <w:ind w:firstLineChars="200" w:firstLine="480"/>
        <w:rPr>
          <w:rFonts w:ascii="宋体" w:hAnsi="宋体"/>
          <w:sz w:val="24"/>
          <w:szCs w:val="28"/>
        </w:rPr>
      </w:pPr>
      <w:r w:rsidRPr="00C367FA">
        <w:rPr>
          <w:rFonts w:ascii="宋体" w:hAnsi="宋体" w:hint="eastAsia"/>
          <w:sz w:val="24"/>
          <w:szCs w:val="28"/>
        </w:rPr>
        <w:t>（1）优先按照 《植物科学技术学院研究生学年度综合测评办法（试行稿）》的测评原则评审，综测排名评定学业奖学金。</w:t>
      </w:r>
    </w:p>
    <w:p w:rsidR="00C367FA" w:rsidRPr="00C367FA" w:rsidRDefault="00C367FA" w:rsidP="00C367FA">
      <w:pPr>
        <w:spacing w:line="460" w:lineRule="exact"/>
        <w:ind w:firstLineChars="200" w:firstLine="480"/>
        <w:rPr>
          <w:rFonts w:ascii="宋体" w:hAnsi="宋体"/>
          <w:sz w:val="24"/>
          <w:szCs w:val="28"/>
        </w:rPr>
      </w:pPr>
      <w:r w:rsidRPr="00C367FA">
        <w:rPr>
          <w:rFonts w:ascii="宋体" w:hAnsi="宋体" w:hint="eastAsia"/>
          <w:sz w:val="24"/>
          <w:szCs w:val="28"/>
        </w:rPr>
        <w:t>（2）在综合测评结果无法直接评定的情况下，相关学生可自愿申报参加答辩考核，根据考核结果评定学业奖学金。考核专家组成员不少于5名具有副高以上职称的教师组成，并指定1名教师作为秘书负责记录和统计等工作。没有申请参加答辩考核的研究生，直接评定为丙等奖学金。</w:t>
      </w:r>
    </w:p>
    <w:p w:rsidR="00AB7C4D" w:rsidRDefault="00AB7C4D" w:rsidP="00AB7C4D">
      <w:pPr>
        <w:spacing w:line="46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（三）博士学位研究生，根据学籍学制和在读情况，进行确认和认定。</w:t>
      </w:r>
    </w:p>
    <w:p w:rsidR="00AB7C4D" w:rsidRDefault="00AB7C4D" w:rsidP="00AB7C4D">
      <w:pPr>
        <w:spacing w:line="460" w:lineRule="exact"/>
        <w:ind w:firstLineChars="200" w:firstLine="480"/>
        <w:rPr>
          <w:rFonts w:ascii="宋体-PUA" w:eastAsia="宋体-PUA" w:hAnsi="宋体-PUA"/>
          <w:b/>
          <w:bCs/>
          <w:sz w:val="28"/>
          <w:szCs w:val="28"/>
        </w:rPr>
      </w:pPr>
      <w:r>
        <w:rPr>
          <w:rFonts w:ascii="宋体" w:hAnsi="宋体" w:hint="eastAsia"/>
          <w:sz w:val="24"/>
          <w:szCs w:val="28"/>
        </w:rPr>
        <w:t>（四）评审结果全院范围内予以公示，公示时间不少于5天。公示无异议后，评审结果上报学校。</w:t>
      </w:r>
    </w:p>
    <w:p w:rsidR="00AB7C4D" w:rsidRDefault="00AB7C4D" w:rsidP="00AB7C4D">
      <w:pPr>
        <w:spacing w:beforeLines="50" w:before="156" w:line="560" w:lineRule="exact"/>
        <w:ind w:firstLineChars="200" w:firstLine="562"/>
        <w:rPr>
          <w:rFonts w:ascii="宋体-PUA" w:eastAsia="宋体-PUA" w:hAnsi="宋体-PUA"/>
          <w:b/>
          <w:bCs/>
          <w:sz w:val="28"/>
          <w:szCs w:val="28"/>
        </w:rPr>
      </w:pPr>
      <w:r>
        <w:rPr>
          <w:rFonts w:ascii="宋体-PUA" w:eastAsia="宋体-PUA" w:hAnsi="宋体-PUA" w:hint="eastAsia"/>
          <w:b/>
          <w:bCs/>
          <w:sz w:val="28"/>
          <w:szCs w:val="28"/>
        </w:rPr>
        <w:t>第六条 组织领导</w:t>
      </w:r>
    </w:p>
    <w:p w:rsidR="00AB7C4D" w:rsidRDefault="00AB7C4D" w:rsidP="00AB7C4D">
      <w:pPr>
        <w:spacing w:line="560" w:lineRule="exact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学院成立研究生学业奖学金评审委员会，全面负责研究生学业奖学金的政策制定、资格审查、组织评审等各项工作。下设办公室，挂靠学院学生工作办公室。</w:t>
      </w:r>
    </w:p>
    <w:p w:rsidR="00AB7C4D" w:rsidRDefault="00AB7C4D" w:rsidP="00AB7C4D">
      <w:pPr>
        <w:spacing w:line="56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 主任委员：院长 书记</w:t>
      </w:r>
    </w:p>
    <w:p w:rsidR="00AB7C4D" w:rsidRDefault="00AB7C4D" w:rsidP="00AB7C4D">
      <w:pPr>
        <w:spacing w:line="56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 委</w:t>
      </w:r>
      <w:r w:rsidR="00582691">
        <w:rPr>
          <w:rFonts w:ascii="宋体" w:hAnsi="宋体" w:hint="eastAsia"/>
          <w:sz w:val="24"/>
          <w:szCs w:val="28"/>
        </w:rPr>
        <w:t xml:space="preserve">    </w:t>
      </w:r>
      <w:r>
        <w:rPr>
          <w:rFonts w:ascii="宋体" w:hAnsi="宋体" w:hint="eastAsia"/>
          <w:sz w:val="24"/>
          <w:szCs w:val="28"/>
        </w:rPr>
        <w:t>员：学科组成员及相关人员</w:t>
      </w:r>
    </w:p>
    <w:p w:rsidR="00AB7C4D" w:rsidRDefault="00AB7C4D" w:rsidP="00AB7C4D">
      <w:pPr>
        <w:spacing w:line="56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 秘</w:t>
      </w:r>
      <w:r w:rsidR="00582691">
        <w:rPr>
          <w:rFonts w:ascii="宋体" w:hAnsi="宋体" w:hint="eastAsia"/>
          <w:sz w:val="24"/>
          <w:szCs w:val="28"/>
        </w:rPr>
        <w:t xml:space="preserve">    </w:t>
      </w:r>
      <w:r>
        <w:rPr>
          <w:rFonts w:ascii="宋体" w:hAnsi="宋体" w:hint="eastAsia"/>
          <w:sz w:val="24"/>
          <w:szCs w:val="28"/>
        </w:rPr>
        <w:t>书：</w:t>
      </w:r>
      <w:r w:rsidR="00331451">
        <w:rPr>
          <w:rFonts w:ascii="宋体" w:hAnsi="宋体" w:hint="eastAsia"/>
          <w:sz w:val="24"/>
          <w:szCs w:val="28"/>
        </w:rPr>
        <w:t>研究生工作</w:t>
      </w:r>
      <w:r w:rsidR="00331451">
        <w:rPr>
          <w:rFonts w:ascii="宋体" w:hAnsi="宋体"/>
          <w:sz w:val="24"/>
          <w:szCs w:val="28"/>
        </w:rPr>
        <w:t>办公室</w:t>
      </w:r>
    </w:p>
    <w:p w:rsidR="00AB7C4D" w:rsidRDefault="00AB7C4D" w:rsidP="00AB7C4D">
      <w:pPr>
        <w:spacing w:beforeLines="50" w:before="156" w:line="560" w:lineRule="exact"/>
        <w:ind w:firstLineChars="200" w:firstLine="562"/>
        <w:rPr>
          <w:rFonts w:ascii="宋体-PUA" w:eastAsia="宋体-PUA" w:hAnsi="宋体-PUA"/>
          <w:b/>
          <w:bCs/>
          <w:sz w:val="28"/>
          <w:szCs w:val="28"/>
        </w:rPr>
      </w:pPr>
      <w:r>
        <w:rPr>
          <w:rFonts w:ascii="宋体-PUA" w:eastAsia="宋体-PUA" w:hAnsi="宋体-PUA" w:hint="eastAsia"/>
          <w:b/>
          <w:bCs/>
          <w:sz w:val="28"/>
          <w:szCs w:val="28"/>
        </w:rPr>
        <w:t>第七条 工作要求</w:t>
      </w:r>
    </w:p>
    <w:p w:rsidR="00AB7C4D" w:rsidRDefault="00AB7C4D" w:rsidP="00AB7C4D">
      <w:pPr>
        <w:spacing w:line="560" w:lineRule="exact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lastRenderedPageBreak/>
        <w:t>1.实事求是，坚决杜绝评选中的弄虚作假等不端行为，一经发现将追究当事人责任并给予严肃处理，取消所获荣誉，追回所获奖学金；</w:t>
      </w:r>
    </w:p>
    <w:p w:rsidR="00AB7C4D" w:rsidRDefault="00AB7C4D" w:rsidP="00AB7C4D">
      <w:pPr>
        <w:spacing w:line="56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2.坚持公开、公平、公正原则，严格按照文件要求进行评审；</w:t>
      </w:r>
    </w:p>
    <w:p w:rsidR="00AB7C4D" w:rsidRDefault="00AB7C4D" w:rsidP="00AB7C4D">
      <w:pPr>
        <w:spacing w:line="56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3.本办法由学院研究生学业奖学金评审委员会办公室负责解释。</w:t>
      </w:r>
    </w:p>
    <w:p w:rsidR="00AB7C4D" w:rsidRDefault="00AB7C4D" w:rsidP="00AB7C4D">
      <w:pPr>
        <w:spacing w:line="460" w:lineRule="exact"/>
        <w:ind w:firstLineChars="200" w:firstLine="480"/>
        <w:rPr>
          <w:rFonts w:ascii="宋体" w:hAnsi="宋体"/>
          <w:sz w:val="24"/>
          <w:szCs w:val="28"/>
        </w:rPr>
      </w:pPr>
    </w:p>
    <w:p w:rsidR="00AB7C4D" w:rsidRDefault="00AB7C4D" w:rsidP="00AB7C4D">
      <w:pPr>
        <w:spacing w:line="460" w:lineRule="exact"/>
        <w:ind w:firstLineChars="200" w:firstLine="480"/>
        <w:jc w:val="righ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植物科学技术学院   </w:t>
      </w:r>
    </w:p>
    <w:p w:rsidR="00AB7C4D" w:rsidRDefault="00AB7C4D" w:rsidP="00582691">
      <w:pPr>
        <w:spacing w:line="460" w:lineRule="exact"/>
        <w:ind w:firstLineChars="200" w:firstLine="480"/>
        <w:jc w:val="right"/>
        <w:rPr>
          <w:b/>
          <w:bCs/>
          <w:sz w:val="28"/>
          <w:szCs w:val="28"/>
        </w:rPr>
      </w:pPr>
      <w:r>
        <w:rPr>
          <w:rFonts w:ascii="宋体" w:hAnsi="宋体" w:hint="eastAsia"/>
          <w:sz w:val="24"/>
          <w:szCs w:val="28"/>
        </w:rPr>
        <w:t>201</w:t>
      </w:r>
      <w:r w:rsidR="00593F3D">
        <w:rPr>
          <w:rFonts w:ascii="宋体" w:hAnsi="宋体"/>
          <w:sz w:val="24"/>
          <w:szCs w:val="28"/>
        </w:rPr>
        <w:t>7</w:t>
      </w:r>
      <w:r>
        <w:rPr>
          <w:rFonts w:ascii="宋体" w:hAnsi="宋体" w:hint="eastAsia"/>
          <w:sz w:val="24"/>
          <w:szCs w:val="28"/>
        </w:rPr>
        <w:t>年</w:t>
      </w:r>
      <w:r w:rsidR="00593F3D">
        <w:rPr>
          <w:rFonts w:ascii="宋体" w:hAnsi="宋体"/>
          <w:sz w:val="24"/>
          <w:szCs w:val="28"/>
        </w:rPr>
        <w:t>9</w:t>
      </w:r>
      <w:r>
        <w:rPr>
          <w:rFonts w:ascii="宋体" w:hAnsi="宋体" w:hint="eastAsia"/>
          <w:sz w:val="24"/>
          <w:szCs w:val="28"/>
        </w:rPr>
        <w:t>月</w:t>
      </w:r>
    </w:p>
    <w:p w:rsidR="00AB7C4D" w:rsidRDefault="00AB7C4D" w:rsidP="000207EE">
      <w:pPr>
        <w:pStyle w:val="a5"/>
        <w:snapToGrid w:val="0"/>
        <w:spacing w:before="0" w:beforeAutospacing="0" w:after="0" w:afterAutospacing="0" w:line="300" w:lineRule="auto"/>
        <w:jc w:val="center"/>
        <w:rPr>
          <w:b/>
          <w:bCs/>
          <w:sz w:val="28"/>
          <w:szCs w:val="28"/>
        </w:rPr>
      </w:pPr>
    </w:p>
    <w:p w:rsidR="00AB7C4D" w:rsidRDefault="00AB7C4D" w:rsidP="000207EE">
      <w:pPr>
        <w:pStyle w:val="a5"/>
        <w:snapToGrid w:val="0"/>
        <w:spacing w:before="0" w:beforeAutospacing="0" w:after="0" w:afterAutospacing="0" w:line="300" w:lineRule="auto"/>
        <w:jc w:val="center"/>
        <w:rPr>
          <w:b/>
          <w:bCs/>
          <w:sz w:val="28"/>
          <w:szCs w:val="28"/>
        </w:rPr>
      </w:pPr>
    </w:p>
    <w:p w:rsidR="00AB7C4D" w:rsidRDefault="00AB7C4D" w:rsidP="000207EE">
      <w:pPr>
        <w:pStyle w:val="a5"/>
        <w:snapToGrid w:val="0"/>
        <w:spacing w:before="0" w:beforeAutospacing="0" w:after="0" w:afterAutospacing="0" w:line="300" w:lineRule="auto"/>
        <w:jc w:val="center"/>
        <w:rPr>
          <w:b/>
          <w:bCs/>
          <w:sz w:val="28"/>
          <w:szCs w:val="28"/>
        </w:rPr>
      </w:pPr>
    </w:p>
    <w:p w:rsidR="00AB7C4D" w:rsidRDefault="00AB7C4D" w:rsidP="000207EE">
      <w:pPr>
        <w:pStyle w:val="a5"/>
        <w:snapToGrid w:val="0"/>
        <w:spacing w:before="0" w:beforeAutospacing="0" w:after="0" w:afterAutospacing="0" w:line="300" w:lineRule="auto"/>
        <w:jc w:val="center"/>
        <w:rPr>
          <w:b/>
          <w:bCs/>
          <w:sz w:val="28"/>
          <w:szCs w:val="28"/>
        </w:rPr>
      </w:pPr>
    </w:p>
    <w:p w:rsidR="00AB7C4D" w:rsidRDefault="00AB7C4D" w:rsidP="000207EE">
      <w:pPr>
        <w:pStyle w:val="a5"/>
        <w:snapToGrid w:val="0"/>
        <w:spacing w:before="0" w:beforeAutospacing="0" w:after="0" w:afterAutospacing="0" w:line="300" w:lineRule="auto"/>
        <w:jc w:val="center"/>
        <w:rPr>
          <w:b/>
          <w:bCs/>
          <w:sz w:val="28"/>
          <w:szCs w:val="28"/>
        </w:rPr>
      </w:pPr>
    </w:p>
    <w:p w:rsidR="00AB7C4D" w:rsidRDefault="00AB7C4D" w:rsidP="000207EE">
      <w:pPr>
        <w:pStyle w:val="a5"/>
        <w:snapToGrid w:val="0"/>
        <w:spacing w:before="0" w:beforeAutospacing="0" w:after="0" w:afterAutospacing="0" w:line="300" w:lineRule="auto"/>
        <w:jc w:val="center"/>
        <w:rPr>
          <w:b/>
          <w:bCs/>
          <w:sz w:val="28"/>
          <w:szCs w:val="28"/>
        </w:rPr>
      </w:pPr>
    </w:p>
    <w:p w:rsidR="00AB7C4D" w:rsidRDefault="00AB7C4D" w:rsidP="000207EE">
      <w:pPr>
        <w:pStyle w:val="a5"/>
        <w:snapToGrid w:val="0"/>
        <w:spacing w:before="0" w:beforeAutospacing="0" w:after="0" w:afterAutospacing="0" w:line="300" w:lineRule="auto"/>
        <w:jc w:val="center"/>
        <w:rPr>
          <w:b/>
          <w:bCs/>
          <w:sz w:val="28"/>
          <w:szCs w:val="28"/>
        </w:rPr>
      </w:pPr>
    </w:p>
    <w:p w:rsidR="00AB7C4D" w:rsidRDefault="00AB7C4D" w:rsidP="000207EE">
      <w:pPr>
        <w:pStyle w:val="a5"/>
        <w:snapToGrid w:val="0"/>
        <w:spacing w:before="0" w:beforeAutospacing="0" w:after="0" w:afterAutospacing="0" w:line="300" w:lineRule="auto"/>
        <w:jc w:val="center"/>
        <w:rPr>
          <w:b/>
          <w:bCs/>
          <w:sz w:val="28"/>
          <w:szCs w:val="28"/>
        </w:rPr>
      </w:pPr>
    </w:p>
    <w:p w:rsidR="00AB7C4D" w:rsidRDefault="00AB7C4D" w:rsidP="000207EE">
      <w:pPr>
        <w:pStyle w:val="a5"/>
        <w:snapToGrid w:val="0"/>
        <w:spacing w:before="0" w:beforeAutospacing="0" w:after="0" w:afterAutospacing="0" w:line="300" w:lineRule="auto"/>
        <w:jc w:val="center"/>
        <w:rPr>
          <w:b/>
          <w:bCs/>
          <w:sz w:val="28"/>
          <w:szCs w:val="28"/>
        </w:rPr>
      </w:pPr>
    </w:p>
    <w:p w:rsidR="00AB7C4D" w:rsidRDefault="00AB7C4D" w:rsidP="000207EE">
      <w:pPr>
        <w:pStyle w:val="a5"/>
        <w:snapToGrid w:val="0"/>
        <w:spacing w:before="0" w:beforeAutospacing="0" w:after="0" w:afterAutospacing="0" w:line="300" w:lineRule="auto"/>
        <w:jc w:val="center"/>
        <w:rPr>
          <w:b/>
          <w:bCs/>
          <w:sz w:val="28"/>
          <w:szCs w:val="28"/>
        </w:rPr>
      </w:pPr>
    </w:p>
    <w:p w:rsidR="00AB7C4D" w:rsidRDefault="00AB7C4D" w:rsidP="000207EE">
      <w:pPr>
        <w:pStyle w:val="a5"/>
        <w:snapToGrid w:val="0"/>
        <w:spacing w:before="0" w:beforeAutospacing="0" w:after="0" w:afterAutospacing="0" w:line="300" w:lineRule="auto"/>
        <w:jc w:val="center"/>
        <w:rPr>
          <w:b/>
          <w:bCs/>
          <w:sz w:val="28"/>
          <w:szCs w:val="28"/>
        </w:rPr>
      </w:pPr>
    </w:p>
    <w:p w:rsidR="00AB7C4D" w:rsidRDefault="00AB7C4D" w:rsidP="000207EE">
      <w:pPr>
        <w:pStyle w:val="a5"/>
        <w:snapToGrid w:val="0"/>
        <w:spacing w:before="0" w:beforeAutospacing="0" w:after="0" w:afterAutospacing="0" w:line="300" w:lineRule="auto"/>
        <w:jc w:val="center"/>
        <w:rPr>
          <w:b/>
          <w:bCs/>
          <w:sz w:val="28"/>
          <w:szCs w:val="28"/>
        </w:rPr>
      </w:pPr>
    </w:p>
    <w:p w:rsidR="00AB7C4D" w:rsidRDefault="00AB7C4D" w:rsidP="000207EE">
      <w:pPr>
        <w:pStyle w:val="a5"/>
        <w:snapToGrid w:val="0"/>
        <w:spacing w:before="0" w:beforeAutospacing="0" w:after="0" w:afterAutospacing="0" w:line="300" w:lineRule="auto"/>
        <w:jc w:val="center"/>
        <w:rPr>
          <w:b/>
          <w:bCs/>
          <w:sz w:val="28"/>
          <w:szCs w:val="28"/>
        </w:rPr>
      </w:pPr>
    </w:p>
    <w:p w:rsidR="00AB7C4D" w:rsidRDefault="00AB7C4D" w:rsidP="000207EE">
      <w:pPr>
        <w:pStyle w:val="a5"/>
        <w:snapToGrid w:val="0"/>
        <w:spacing w:before="0" w:beforeAutospacing="0" w:after="0" w:afterAutospacing="0" w:line="300" w:lineRule="auto"/>
        <w:jc w:val="center"/>
        <w:rPr>
          <w:b/>
          <w:bCs/>
          <w:sz w:val="28"/>
          <w:szCs w:val="28"/>
        </w:rPr>
      </w:pPr>
    </w:p>
    <w:p w:rsidR="00AB7C4D" w:rsidRDefault="00AB7C4D" w:rsidP="000207EE">
      <w:pPr>
        <w:pStyle w:val="a5"/>
        <w:snapToGrid w:val="0"/>
        <w:spacing w:before="0" w:beforeAutospacing="0" w:after="0" w:afterAutospacing="0" w:line="300" w:lineRule="auto"/>
        <w:jc w:val="center"/>
        <w:rPr>
          <w:b/>
          <w:bCs/>
          <w:sz w:val="28"/>
          <w:szCs w:val="28"/>
        </w:rPr>
      </w:pPr>
    </w:p>
    <w:p w:rsidR="00AB7C4D" w:rsidRDefault="00AB7C4D" w:rsidP="000207EE">
      <w:pPr>
        <w:pStyle w:val="a5"/>
        <w:snapToGrid w:val="0"/>
        <w:spacing w:before="0" w:beforeAutospacing="0" w:after="0" w:afterAutospacing="0" w:line="300" w:lineRule="auto"/>
        <w:jc w:val="center"/>
        <w:rPr>
          <w:b/>
          <w:bCs/>
          <w:sz w:val="28"/>
          <w:szCs w:val="28"/>
        </w:rPr>
      </w:pPr>
    </w:p>
    <w:p w:rsidR="003372C4" w:rsidRDefault="003372C4" w:rsidP="000207EE">
      <w:pPr>
        <w:pStyle w:val="a5"/>
        <w:snapToGrid w:val="0"/>
        <w:spacing w:before="0" w:beforeAutospacing="0" w:after="0" w:afterAutospacing="0" w:line="300" w:lineRule="auto"/>
        <w:jc w:val="center"/>
        <w:rPr>
          <w:b/>
          <w:bCs/>
          <w:sz w:val="28"/>
          <w:szCs w:val="28"/>
        </w:rPr>
      </w:pPr>
    </w:p>
    <w:p w:rsidR="003372C4" w:rsidRDefault="003372C4" w:rsidP="000207EE">
      <w:pPr>
        <w:pStyle w:val="a5"/>
        <w:snapToGrid w:val="0"/>
        <w:spacing w:before="0" w:beforeAutospacing="0" w:after="0" w:afterAutospacing="0" w:line="300" w:lineRule="auto"/>
        <w:jc w:val="center"/>
        <w:rPr>
          <w:b/>
          <w:bCs/>
          <w:sz w:val="28"/>
          <w:szCs w:val="28"/>
        </w:rPr>
      </w:pPr>
    </w:p>
    <w:p w:rsidR="003372C4" w:rsidRDefault="003372C4" w:rsidP="000207EE">
      <w:pPr>
        <w:pStyle w:val="a5"/>
        <w:snapToGrid w:val="0"/>
        <w:spacing w:before="0" w:beforeAutospacing="0" w:after="0" w:afterAutospacing="0" w:line="300" w:lineRule="auto"/>
        <w:jc w:val="center"/>
        <w:rPr>
          <w:b/>
          <w:bCs/>
          <w:sz w:val="28"/>
          <w:szCs w:val="28"/>
        </w:rPr>
      </w:pPr>
    </w:p>
    <w:p w:rsidR="00F2442B" w:rsidRDefault="00F2442B" w:rsidP="000207EE">
      <w:pPr>
        <w:pStyle w:val="a5"/>
        <w:snapToGrid w:val="0"/>
        <w:spacing w:before="0" w:beforeAutospacing="0" w:after="0" w:afterAutospacing="0" w:line="300" w:lineRule="auto"/>
        <w:jc w:val="center"/>
        <w:rPr>
          <w:b/>
          <w:bCs/>
          <w:sz w:val="28"/>
          <w:szCs w:val="28"/>
        </w:rPr>
      </w:pPr>
    </w:p>
    <w:p w:rsidR="0049267F" w:rsidRDefault="0049267F" w:rsidP="000207EE">
      <w:pPr>
        <w:pStyle w:val="a5"/>
        <w:snapToGrid w:val="0"/>
        <w:spacing w:before="0" w:beforeAutospacing="0" w:after="0" w:afterAutospacing="0" w:line="300" w:lineRule="auto"/>
        <w:jc w:val="center"/>
        <w:rPr>
          <w:b/>
          <w:bCs/>
          <w:sz w:val="28"/>
          <w:szCs w:val="28"/>
        </w:rPr>
      </w:pPr>
    </w:p>
    <w:p w:rsidR="00AB7C4D" w:rsidRDefault="00AB7C4D" w:rsidP="000207EE">
      <w:pPr>
        <w:pStyle w:val="a5"/>
        <w:snapToGrid w:val="0"/>
        <w:spacing w:before="0" w:beforeAutospacing="0" w:after="0" w:afterAutospacing="0" w:line="300" w:lineRule="auto"/>
        <w:jc w:val="center"/>
        <w:rPr>
          <w:b/>
          <w:bCs/>
          <w:sz w:val="28"/>
          <w:szCs w:val="28"/>
        </w:rPr>
      </w:pPr>
    </w:p>
    <w:p w:rsidR="000207EE" w:rsidRDefault="000207EE" w:rsidP="000207EE">
      <w:pPr>
        <w:pStyle w:val="a5"/>
        <w:snapToGrid w:val="0"/>
        <w:spacing w:before="0" w:beforeAutospacing="0" w:after="0" w:afterAutospacing="0" w:line="30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植物科学技术学院研究生学年度综合测评办法</w:t>
      </w:r>
    </w:p>
    <w:p w:rsidR="000207EE" w:rsidRDefault="000207EE" w:rsidP="000207EE">
      <w:pPr>
        <w:pStyle w:val="a5"/>
        <w:adjustRightInd w:val="0"/>
        <w:snapToGrid w:val="0"/>
        <w:spacing w:beforeLines="100" w:before="312" w:beforeAutospacing="0" w:afterLines="100" w:after="312" w:afterAutospacing="0" w:line="500" w:lineRule="exact"/>
        <w:jc w:val="center"/>
        <w:rPr>
          <w:b/>
          <w:bCs/>
        </w:rPr>
      </w:pPr>
      <w:r>
        <w:rPr>
          <w:rFonts w:hint="eastAsia"/>
          <w:b/>
          <w:bCs/>
        </w:rPr>
        <w:t>第一章 总则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szCs w:val="24"/>
        </w:rPr>
      </w:pPr>
      <w:r>
        <w:rPr>
          <w:rFonts w:hint="eastAsia"/>
          <w:b/>
          <w:bCs/>
          <w:szCs w:val="24"/>
        </w:rPr>
        <w:t xml:space="preserve">第一条 </w:t>
      </w:r>
      <w:r>
        <w:rPr>
          <w:rFonts w:hint="eastAsia"/>
          <w:szCs w:val="24"/>
        </w:rPr>
        <w:t>为推动研究生创新精神和实践能力培养，营造崇尚学术、勇于竞争、奋发进取、崇德向善的良好育人环境，促进研究生德、智、体、美全面发展，实现立德树人的目标，根据学校相关文件精神及学院实际，特制订本办法。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szCs w:val="24"/>
        </w:rPr>
      </w:pPr>
      <w:r>
        <w:rPr>
          <w:rFonts w:hint="eastAsia"/>
          <w:b/>
          <w:bCs/>
          <w:szCs w:val="24"/>
        </w:rPr>
        <w:t>第二条</w:t>
      </w:r>
      <w:r>
        <w:rPr>
          <w:rFonts w:hint="eastAsia"/>
          <w:szCs w:val="24"/>
        </w:rPr>
        <w:t xml:space="preserve"> 综合素质测评（以下简称测评）坚持全面性、学术导向性、可操作性的原则。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szCs w:val="24"/>
        </w:rPr>
      </w:pPr>
      <w:r>
        <w:rPr>
          <w:rFonts w:hint="eastAsia"/>
          <w:b/>
          <w:bCs/>
          <w:szCs w:val="24"/>
        </w:rPr>
        <w:t xml:space="preserve">第三条 </w:t>
      </w:r>
      <w:r>
        <w:rPr>
          <w:rFonts w:hint="eastAsia"/>
          <w:szCs w:val="24"/>
        </w:rPr>
        <w:t>测评对象为具有中华人民共和国国籍、纳入全国研究生招生计划的学院全日制在校研究生；学术型硕士≤3年，专业学位硕士≤2年，博士研究生≤3年。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szCs w:val="24"/>
        </w:rPr>
      </w:pPr>
      <w:r>
        <w:rPr>
          <w:rFonts w:hint="eastAsia"/>
          <w:b/>
          <w:bCs/>
          <w:szCs w:val="24"/>
        </w:rPr>
        <w:t>第四条</w:t>
      </w:r>
      <w:r>
        <w:rPr>
          <w:rFonts w:hint="eastAsia"/>
          <w:szCs w:val="24"/>
        </w:rPr>
        <w:t xml:space="preserve"> 测评主要从学业（课程）评价、学术（成果）评价、公益（工作）评价、法纪意识和行为评价等方面进行。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szCs w:val="24"/>
        </w:rPr>
      </w:pPr>
      <w:r>
        <w:rPr>
          <w:rFonts w:hint="eastAsia"/>
          <w:b/>
          <w:bCs/>
          <w:szCs w:val="24"/>
        </w:rPr>
        <w:t xml:space="preserve">第五条 </w:t>
      </w:r>
      <w:r>
        <w:rPr>
          <w:rFonts w:hint="eastAsia"/>
          <w:szCs w:val="24"/>
        </w:rPr>
        <w:t>测评结果作为评选三好研究生（标兵）等各级各类先进个人和学业奖学金、企业奖学金的主要依据；并作为研究生国家奖学金评选的重要参考依据。</w:t>
      </w:r>
    </w:p>
    <w:p w:rsidR="000207EE" w:rsidRDefault="000207EE" w:rsidP="000207EE">
      <w:pPr>
        <w:pStyle w:val="a5"/>
        <w:adjustRightInd w:val="0"/>
        <w:snapToGrid w:val="0"/>
        <w:spacing w:beforeLines="100" w:before="312" w:beforeAutospacing="0" w:afterLines="100" w:after="312" w:afterAutospacing="0" w:line="500" w:lineRule="exact"/>
        <w:jc w:val="center"/>
        <w:rPr>
          <w:b/>
          <w:bCs/>
        </w:rPr>
      </w:pPr>
      <w:r>
        <w:rPr>
          <w:rFonts w:hint="eastAsia"/>
          <w:b/>
          <w:bCs/>
        </w:rPr>
        <w:t>第二章 测评内容与标准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color w:val="000000"/>
          <w:szCs w:val="24"/>
        </w:rPr>
      </w:pPr>
      <w:r>
        <w:rPr>
          <w:rFonts w:hint="eastAsia"/>
          <w:b/>
          <w:bCs/>
          <w:color w:val="000000"/>
          <w:szCs w:val="24"/>
        </w:rPr>
        <w:t xml:space="preserve">第六条 </w:t>
      </w:r>
      <w:r>
        <w:rPr>
          <w:rFonts w:hint="eastAsia"/>
          <w:color w:val="000000"/>
          <w:szCs w:val="24"/>
        </w:rPr>
        <w:t>学业（课程）评价</w:t>
      </w:r>
      <w:r>
        <w:rPr>
          <w:rFonts w:ascii="楷体_GB2312" w:eastAsia="楷体_GB2312" w:hAnsi="楷体_GB2312" w:cs="楷体_GB2312" w:hint="eastAsia"/>
          <w:color w:val="000000"/>
          <w:szCs w:val="24"/>
        </w:rPr>
        <w:t>（≤45分）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leftChars="200" w:left="420"/>
        <w:jc w:val="both"/>
        <w:rPr>
          <w:szCs w:val="24"/>
        </w:rPr>
      </w:pPr>
      <w:r>
        <w:rPr>
          <w:rFonts w:hint="eastAsia"/>
          <w:b/>
          <w:bCs/>
          <w:szCs w:val="24"/>
        </w:rPr>
        <w:t>（一）</w:t>
      </w:r>
      <w:r>
        <w:rPr>
          <w:rFonts w:hint="eastAsia"/>
          <w:szCs w:val="24"/>
        </w:rPr>
        <w:t>测评对象。硕士、博士研究生。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leftChars="200" w:left="420"/>
        <w:jc w:val="both"/>
        <w:rPr>
          <w:szCs w:val="24"/>
        </w:rPr>
      </w:pPr>
      <w:r>
        <w:rPr>
          <w:rFonts w:hint="eastAsia"/>
          <w:b/>
          <w:bCs/>
          <w:szCs w:val="24"/>
        </w:rPr>
        <w:t>（二）</w:t>
      </w:r>
      <w:r>
        <w:rPr>
          <w:rFonts w:hint="eastAsia"/>
          <w:szCs w:val="24"/>
        </w:rPr>
        <w:t>测评公式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leftChars="200" w:left="420"/>
        <w:jc w:val="both"/>
        <w:rPr>
          <w:szCs w:val="24"/>
        </w:rPr>
      </w:pPr>
      <w:r>
        <w:rPr>
          <w:rFonts w:hint="eastAsia"/>
          <w:szCs w:val="24"/>
        </w:rPr>
        <w:t xml:space="preserve">      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leftChars="200" w:left="420"/>
        <w:jc w:val="both"/>
        <w:rPr>
          <w:szCs w:val="24"/>
          <w:u w:val="single"/>
        </w:rPr>
      </w:pPr>
      <w:r>
        <w:rPr>
          <w:rFonts w:hint="eastAsia"/>
          <w:szCs w:val="24"/>
        </w:rPr>
        <w:t>测评分值</w:t>
      </w:r>
      <w:r>
        <w:rPr>
          <w:szCs w:val="24"/>
        </w:rPr>
        <w:t>=</w:t>
      </w: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  <w:u w:val="single"/>
        </w:rPr>
        <w:t>Σ</w:t>
      </w:r>
      <w:r>
        <w:rPr>
          <w:szCs w:val="24"/>
          <w:u w:val="single"/>
        </w:rPr>
        <w:t>课程</w:t>
      </w:r>
      <w:r>
        <w:rPr>
          <w:rFonts w:hint="eastAsia"/>
          <w:szCs w:val="24"/>
          <w:u w:val="single"/>
        </w:rPr>
        <w:t>考试</w:t>
      </w:r>
      <w:r>
        <w:rPr>
          <w:szCs w:val="24"/>
          <w:u w:val="single"/>
        </w:rPr>
        <w:t>分</w:t>
      </w:r>
      <w:r>
        <w:rPr>
          <w:rFonts w:ascii="楷体_GB2312" w:eastAsia="楷体_GB2312" w:hAnsi="楷体_GB2312" w:cs="楷体_GB2312" w:hint="eastAsia"/>
          <w:szCs w:val="24"/>
          <w:u w:val="single"/>
        </w:rPr>
        <w:t>（折算百分制）</w:t>
      </w:r>
      <w:r>
        <w:rPr>
          <w:szCs w:val="24"/>
          <w:u w:val="single"/>
        </w:rPr>
        <w:t>×</w:t>
      </w:r>
      <w:r>
        <w:rPr>
          <w:rFonts w:hint="eastAsia"/>
          <w:szCs w:val="24"/>
          <w:u w:val="single"/>
        </w:rPr>
        <w:t xml:space="preserve">课程学分 </w:t>
      </w:r>
      <w:r>
        <w:rPr>
          <w:szCs w:val="24"/>
          <w:u w:val="single"/>
        </w:rPr>
        <w:t>×</w:t>
      </w:r>
      <w:r>
        <w:rPr>
          <w:rFonts w:hint="eastAsia"/>
          <w:szCs w:val="24"/>
          <w:u w:val="single"/>
        </w:rPr>
        <w:t>45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leftChars="200" w:left="420"/>
        <w:jc w:val="both"/>
        <w:rPr>
          <w:szCs w:val="24"/>
        </w:rPr>
      </w:pPr>
      <w:r>
        <w:rPr>
          <w:rFonts w:hint="eastAsia"/>
          <w:szCs w:val="24"/>
        </w:rPr>
        <w:t xml:space="preserve">                              Σ</w:t>
      </w:r>
      <w:r>
        <w:rPr>
          <w:szCs w:val="24"/>
        </w:rPr>
        <w:t>课程</w:t>
      </w:r>
      <w:r>
        <w:rPr>
          <w:rFonts w:hint="eastAsia"/>
          <w:szCs w:val="24"/>
        </w:rPr>
        <w:t xml:space="preserve">学分 </w:t>
      </w:r>
      <w:r>
        <w:rPr>
          <w:szCs w:val="24"/>
        </w:rPr>
        <w:t>×</w:t>
      </w:r>
      <w:r>
        <w:rPr>
          <w:rFonts w:hint="eastAsia"/>
          <w:szCs w:val="24"/>
        </w:rPr>
        <w:t xml:space="preserve">100 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jc w:val="both"/>
        <w:rPr>
          <w:color w:val="000000"/>
          <w:szCs w:val="24"/>
        </w:rPr>
      </w:pPr>
      <w:r>
        <w:rPr>
          <w:rFonts w:hint="eastAsia"/>
          <w:b/>
          <w:bCs/>
          <w:color w:val="000000"/>
          <w:szCs w:val="24"/>
        </w:rPr>
        <w:t xml:space="preserve">    （三）</w:t>
      </w:r>
      <w:r>
        <w:rPr>
          <w:rFonts w:hint="eastAsia"/>
          <w:color w:val="000000"/>
          <w:szCs w:val="24"/>
        </w:rPr>
        <w:t>所修课程有1门及以上考试不及格，或不参加课程考核，或不按规定选修课程者</w:t>
      </w:r>
      <w:r w:rsidR="00582691">
        <w:rPr>
          <w:rFonts w:hint="eastAsia"/>
          <w:color w:val="000000"/>
          <w:szCs w:val="24"/>
        </w:rPr>
        <w:t>（包括</w:t>
      </w:r>
      <w:r w:rsidR="00582691">
        <w:rPr>
          <w:color w:val="000000"/>
          <w:szCs w:val="24"/>
        </w:rPr>
        <w:t>缓考</w:t>
      </w:r>
      <w:r w:rsidR="00582691">
        <w:rPr>
          <w:rFonts w:hint="eastAsia"/>
          <w:color w:val="000000"/>
          <w:szCs w:val="24"/>
        </w:rPr>
        <w:t>）</w:t>
      </w:r>
      <w:r>
        <w:rPr>
          <w:rFonts w:hint="eastAsia"/>
          <w:color w:val="000000"/>
          <w:szCs w:val="24"/>
        </w:rPr>
        <w:t>，该</w:t>
      </w:r>
      <w:r w:rsidR="00E543F4">
        <w:rPr>
          <w:rFonts w:hint="eastAsia"/>
          <w:color w:val="000000"/>
          <w:szCs w:val="24"/>
        </w:rPr>
        <w:t>门课程</w:t>
      </w:r>
      <w:r>
        <w:rPr>
          <w:rFonts w:hint="eastAsia"/>
          <w:color w:val="000000"/>
          <w:szCs w:val="24"/>
        </w:rPr>
        <w:t>记0分。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rFonts w:ascii="楷体_GB2312" w:eastAsia="楷体_GB2312" w:hAnsi="楷体_GB2312" w:cs="楷体_GB2312"/>
          <w:color w:val="000000"/>
          <w:szCs w:val="24"/>
        </w:rPr>
      </w:pPr>
      <w:r>
        <w:rPr>
          <w:rFonts w:hint="eastAsia"/>
          <w:b/>
          <w:bCs/>
          <w:color w:val="000000"/>
          <w:szCs w:val="24"/>
        </w:rPr>
        <w:t xml:space="preserve">第七条 </w:t>
      </w:r>
      <w:r>
        <w:rPr>
          <w:rFonts w:hint="eastAsia"/>
          <w:color w:val="000000"/>
          <w:szCs w:val="24"/>
        </w:rPr>
        <w:t>学术（成果）评价</w:t>
      </w:r>
      <w:r>
        <w:rPr>
          <w:rFonts w:ascii="楷体_GB2312" w:eastAsia="楷体_GB2312" w:hAnsi="楷体_GB2312" w:cs="楷体_GB2312" w:hint="eastAsia"/>
          <w:color w:val="000000"/>
          <w:szCs w:val="24"/>
        </w:rPr>
        <w:t>（一年级研究生≤45分；其他年级研究生≤90分）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szCs w:val="24"/>
        </w:rPr>
      </w:pPr>
      <w:r>
        <w:rPr>
          <w:rFonts w:hint="eastAsia"/>
          <w:b/>
          <w:bCs/>
          <w:szCs w:val="24"/>
        </w:rPr>
        <w:t>Ⅰ</w:t>
      </w:r>
      <w:r>
        <w:rPr>
          <w:szCs w:val="24"/>
        </w:rPr>
        <w:t>论文类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b/>
          <w:bCs/>
          <w:color w:val="000000"/>
          <w:szCs w:val="24"/>
        </w:rPr>
      </w:pPr>
      <w:r>
        <w:rPr>
          <w:rFonts w:hint="eastAsia"/>
          <w:b/>
          <w:bCs/>
          <w:color w:val="000000"/>
          <w:szCs w:val="24"/>
        </w:rPr>
        <w:t>（一）</w:t>
      </w:r>
      <w:r>
        <w:rPr>
          <w:rFonts w:hint="eastAsia"/>
          <w:color w:val="000000"/>
          <w:szCs w:val="24"/>
        </w:rPr>
        <w:t>SCI论文。IF&lt;1，测评分值IF*1分/篇；1≤IF&lt;3，测评分值IF*1.5分/篇；3≤IF&lt;5，测评分值IF*2分/篇；5≤IF&lt;9，测评分值IF*2.5分/篇；IF≥9，测评分值IF*3分/篇。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szCs w:val="24"/>
        </w:rPr>
      </w:pPr>
      <w:r>
        <w:rPr>
          <w:rFonts w:hint="eastAsia"/>
          <w:b/>
          <w:bCs/>
          <w:szCs w:val="24"/>
        </w:rPr>
        <w:lastRenderedPageBreak/>
        <w:t>（二）</w:t>
      </w:r>
      <w:r>
        <w:rPr>
          <w:rFonts w:hint="eastAsia"/>
          <w:szCs w:val="24"/>
        </w:rPr>
        <w:t>一级学报或中文核心期刊论文，测评分值0.8分/篇，总分≤3分。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szCs w:val="24"/>
        </w:rPr>
      </w:pPr>
      <w:r>
        <w:rPr>
          <w:rFonts w:hint="eastAsia"/>
          <w:b/>
          <w:bCs/>
          <w:szCs w:val="24"/>
        </w:rPr>
        <w:t>（三）</w:t>
      </w:r>
      <w:r>
        <w:rPr>
          <w:rFonts w:hint="eastAsia"/>
          <w:szCs w:val="24"/>
        </w:rPr>
        <w:t>其他正式刊物公开发表学术论文，测评分值0.5分/篇，总分≤1分。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szCs w:val="24"/>
        </w:rPr>
      </w:pPr>
      <w:r>
        <w:rPr>
          <w:rFonts w:hint="eastAsia"/>
          <w:b/>
          <w:bCs/>
          <w:szCs w:val="24"/>
        </w:rPr>
        <w:t>（四）</w:t>
      </w:r>
      <w:r>
        <w:rPr>
          <w:rFonts w:hint="eastAsia"/>
          <w:szCs w:val="24"/>
        </w:rPr>
        <w:t>会议论文。参加境外国际学术会议并提交论文，测评分值0.8分/篇；参加境内国际学术会议并提交论文，测评分值0.5分/篇，总分≤2分。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szCs w:val="24"/>
        </w:rPr>
      </w:pPr>
      <w:r>
        <w:rPr>
          <w:rFonts w:hint="eastAsia"/>
          <w:b/>
          <w:bCs/>
          <w:szCs w:val="24"/>
        </w:rPr>
        <w:t>Ⅱ</w:t>
      </w:r>
      <w:r>
        <w:rPr>
          <w:rFonts w:hint="eastAsia"/>
          <w:szCs w:val="24"/>
        </w:rPr>
        <w:t>专著类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szCs w:val="24"/>
        </w:rPr>
      </w:pPr>
      <w:r>
        <w:rPr>
          <w:rFonts w:hint="eastAsia"/>
          <w:b/>
          <w:bCs/>
          <w:szCs w:val="24"/>
        </w:rPr>
        <w:t>（五）</w:t>
      </w:r>
      <w:r>
        <w:rPr>
          <w:rFonts w:hint="eastAsia"/>
          <w:szCs w:val="24"/>
        </w:rPr>
        <w:t>独撰</w:t>
      </w:r>
      <w:r>
        <w:rPr>
          <w:szCs w:val="24"/>
        </w:rPr>
        <w:t>专著10万字及以上，</w:t>
      </w:r>
      <w:r>
        <w:rPr>
          <w:rFonts w:hint="eastAsia"/>
          <w:szCs w:val="24"/>
        </w:rPr>
        <w:t>测评分值12</w:t>
      </w:r>
      <w:r>
        <w:rPr>
          <w:szCs w:val="24"/>
        </w:rPr>
        <w:t>分</w:t>
      </w:r>
      <w:r>
        <w:rPr>
          <w:rFonts w:hint="eastAsia"/>
          <w:szCs w:val="24"/>
        </w:rPr>
        <w:t>；</w:t>
      </w:r>
      <w:r>
        <w:rPr>
          <w:szCs w:val="24"/>
        </w:rPr>
        <w:t>少于10万字</w:t>
      </w:r>
      <w:r>
        <w:rPr>
          <w:rFonts w:hint="eastAsia"/>
          <w:szCs w:val="24"/>
        </w:rPr>
        <w:t>按“专著字数”/10万×12分折算。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szCs w:val="24"/>
        </w:rPr>
      </w:pPr>
      <w:r>
        <w:rPr>
          <w:rFonts w:hint="eastAsia"/>
          <w:b/>
          <w:bCs/>
          <w:szCs w:val="24"/>
        </w:rPr>
        <w:t>（六）</w:t>
      </w:r>
      <w:r>
        <w:rPr>
          <w:szCs w:val="24"/>
        </w:rPr>
        <w:t>专著</w:t>
      </w:r>
      <w:r>
        <w:rPr>
          <w:rFonts w:hint="eastAsia"/>
          <w:szCs w:val="24"/>
        </w:rPr>
        <w:t>（教材）</w:t>
      </w:r>
      <w:r>
        <w:rPr>
          <w:szCs w:val="24"/>
        </w:rPr>
        <w:t>主编</w:t>
      </w:r>
      <w:r>
        <w:rPr>
          <w:rFonts w:hint="eastAsia"/>
          <w:szCs w:val="24"/>
        </w:rPr>
        <w:t>测评分值8</w:t>
      </w:r>
      <w:r>
        <w:rPr>
          <w:szCs w:val="24"/>
        </w:rPr>
        <w:t>分</w:t>
      </w:r>
      <w:r>
        <w:rPr>
          <w:rFonts w:hint="eastAsia"/>
          <w:szCs w:val="24"/>
        </w:rPr>
        <w:t>，</w:t>
      </w:r>
      <w:r>
        <w:rPr>
          <w:szCs w:val="24"/>
        </w:rPr>
        <w:t>副主编</w:t>
      </w:r>
      <w:r>
        <w:rPr>
          <w:rFonts w:hint="eastAsia"/>
          <w:szCs w:val="24"/>
        </w:rPr>
        <w:t>5</w:t>
      </w:r>
      <w:r>
        <w:rPr>
          <w:szCs w:val="24"/>
        </w:rPr>
        <w:t>分</w:t>
      </w:r>
      <w:r>
        <w:rPr>
          <w:rFonts w:hint="eastAsia"/>
          <w:szCs w:val="24"/>
        </w:rPr>
        <w:t>。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szCs w:val="24"/>
        </w:rPr>
      </w:pPr>
      <w:r>
        <w:rPr>
          <w:rFonts w:hint="eastAsia"/>
          <w:b/>
          <w:bCs/>
          <w:szCs w:val="24"/>
        </w:rPr>
        <w:t>（七）</w:t>
      </w:r>
      <w:r>
        <w:rPr>
          <w:szCs w:val="24"/>
        </w:rPr>
        <w:t>专著</w:t>
      </w:r>
      <w:r>
        <w:rPr>
          <w:rFonts w:hint="eastAsia"/>
          <w:szCs w:val="24"/>
        </w:rPr>
        <w:t>编写，</w:t>
      </w:r>
      <w:r>
        <w:rPr>
          <w:szCs w:val="24"/>
        </w:rPr>
        <w:t>每章计1分(1.5万字及以上，少于1.5万字</w:t>
      </w:r>
      <w:r>
        <w:rPr>
          <w:rFonts w:hint="eastAsia"/>
          <w:szCs w:val="24"/>
        </w:rPr>
        <w:t>50%折算；</w:t>
      </w:r>
      <w:r>
        <w:rPr>
          <w:szCs w:val="24"/>
        </w:rPr>
        <w:t>专著未分章节者，每</w:t>
      </w:r>
      <w:r>
        <w:rPr>
          <w:rFonts w:hint="eastAsia"/>
          <w:szCs w:val="24"/>
        </w:rPr>
        <w:t>1.5</w:t>
      </w:r>
      <w:r>
        <w:rPr>
          <w:szCs w:val="24"/>
        </w:rPr>
        <w:t>万字加1分</w:t>
      </w:r>
      <w:r>
        <w:rPr>
          <w:rFonts w:hint="eastAsia"/>
          <w:szCs w:val="24"/>
        </w:rPr>
        <w:t>，</w:t>
      </w:r>
      <w:r>
        <w:rPr>
          <w:szCs w:val="24"/>
        </w:rPr>
        <w:t>少于1.5万字</w:t>
      </w:r>
      <w:r>
        <w:rPr>
          <w:rFonts w:hint="eastAsia"/>
          <w:szCs w:val="24"/>
        </w:rPr>
        <w:t>50%折算；总分≤3分。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szCs w:val="24"/>
        </w:rPr>
      </w:pPr>
      <w:r>
        <w:rPr>
          <w:rFonts w:hint="eastAsia"/>
          <w:b/>
          <w:bCs/>
          <w:szCs w:val="24"/>
        </w:rPr>
        <w:t>（八）</w:t>
      </w:r>
      <w:r>
        <w:rPr>
          <w:szCs w:val="24"/>
        </w:rPr>
        <w:t>译著者</w:t>
      </w:r>
      <w:r>
        <w:rPr>
          <w:rFonts w:hint="eastAsia"/>
          <w:szCs w:val="24"/>
        </w:rPr>
        <w:t>按相应测评分值50%折算。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szCs w:val="24"/>
        </w:rPr>
      </w:pPr>
      <w:r>
        <w:rPr>
          <w:rFonts w:hint="eastAsia"/>
          <w:b/>
          <w:bCs/>
          <w:szCs w:val="24"/>
        </w:rPr>
        <w:t>Ⅲ</w:t>
      </w:r>
      <w:r>
        <w:rPr>
          <w:rFonts w:hint="eastAsia"/>
          <w:szCs w:val="24"/>
        </w:rPr>
        <w:t>学术科技（竞赛）活动类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szCs w:val="24"/>
        </w:rPr>
      </w:pPr>
      <w:r>
        <w:rPr>
          <w:rFonts w:hint="eastAsia"/>
          <w:b/>
          <w:bCs/>
          <w:szCs w:val="24"/>
        </w:rPr>
        <w:t>（九）</w:t>
      </w:r>
      <w:r>
        <w:rPr>
          <w:rFonts w:hint="eastAsia"/>
          <w:szCs w:val="24"/>
        </w:rPr>
        <w:t>国家教育、科技等行政主管部门或专业权威组织举办的大学生科技、学术竞赛活动获得表彰。测评分值国家级特等奖20分、</w:t>
      </w:r>
      <w:r>
        <w:rPr>
          <w:szCs w:val="24"/>
        </w:rPr>
        <w:t>一等</w:t>
      </w:r>
      <w:r>
        <w:rPr>
          <w:rFonts w:hint="eastAsia"/>
          <w:szCs w:val="24"/>
        </w:rPr>
        <w:t>奖15</w:t>
      </w:r>
      <w:r>
        <w:rPr>
          <w:szCs w:val="24"/>
        </w:rPr>
        <w:t>分</w:t>
      </w:r>
      <w:r>
        <w:rPr>
          <w:rFonts w:hint="eastAsia"/>
          <w:szCs w:val="24"/>
        </w:rPr>
        <w:t>、二</w:t>
      </w:r>
      <w:r>
        <w:rPr>
          <w:szCs w:val="24"/>
        </w:rPr>
        <w:t>等奖</w:t>
      </w:r>
      <w:r>
        <w:rPr>
          <w:rFonts w:hint="eastAsia"/>
          <w:szCs w:val="24"/>
        </w:rPr>
        <w:t>10</w:t>
      </w:r>
      <w:r>
        <w:rPr>
          <w:szCs w:val="24"/>
        </w:rPr>
        <w:t>分，三等奖</w:t>
      </w:r>
      <w:r>
        <w:rPr>
          <w:rFonts w:hint="eastAsia"/>
          <w:szCs w:val="24"/>
        </w:rPr>
        <w:t>5</w:t>
      </w:r>
      <w:r>
        <w:rPr>
          <w:szCs w:val="24"/>
        </w:rPr>
        <w:t>分</w:t>
      </w:r>
      <w:r>
        <w:rPr>
          <w:rFonts w:hint="eastAsia"/>
          <w:szCs w:val="24"/>
        </w:rPr>
        <w:t>、优胜奖及其他奖励2分。部省级特等奖10分、</w:t>
      </w:r>
      <w:r>
        <w:rPr>
          <w:szCs w:val="24"/>
        </w:rPr>
        <w:t>一等</w:t>
      </w:r>
      <w:r>
        <w:rPr>
          <w:rFonts w:hint="eastAsia"/>
          <w:szCs w:val="24"/>
        </w:rPr>
        <w:t>奖8</w:t>
      </w:r>
      <w:r>
        <w:rPr>
          <w:szCs w:val="24"/>
        </w:rPr>
        <w:t>分</w:t>
      </w:r>
      <w:r>
        <w:rPr>
          <w:rFonts w:hint="eastAsia"/>
          <w:szCs w:val="24"/>
        </w:rPr>
        <w:t>、二</w:t>
      </w:r>
      <w:r>
        <w:rPr>
          <w:szCs w:val="24"/>
        </w:rPr>
        <w:t>等奖</w:t>
      </w:r>
      <w:r>
        <w:rPr>
          <w:rFonts w:hint="eastAsia"/>
          <w:szCs w:val="24"/>
        </w:rPr>
        <w:t>5</w:t>
      </w:r>
      <w:r>
        <w:rPr>
          <w:szCs w:val="24"/>
        </w:rPr>
        <w:t>分，三等奖</w:t>
      </w:r>
      <w:r>
        <w:rPr>
          <w:rFonts w:hint="eastAsia"/>
          <w:szCs w:val="24"/>
        </w:rPr>
        <w:t>3</w:t>
      </w:r>
      <w:r>
        <w:rPr>
          <w:szCs w:val="24"/>
        </w:rPr>
        <w:t>分</w:t>
      </w:r>
      <w:r>
        <w:rPr>
          <w:rFonts w:hint="eastAsia"/>
          <w:szCs w:val="24"/>
        </w:rPr>
        <w:t>、优胜奖及其他奖励1分；校级按照</w:t>
      </w:r>
      <w:r>
        <w:rPr>
          <w:szCs w:val="24"/>
        </w:rPr>
        <w:t>国家级</w:t>
      </w:r>
      <w:r>
        <w:rPr>
          <w:rFonts w:hint="eastAsia"/>
          <w:szCs w:val="24"/>
        </w:rPr>
        <w:t>相应测评分值1/10折算。国际大学生科技创新、学术竞赛活动，按照国家级测评相应分值加5分执行。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szCs w:val="24"/>
        </w:rPr>
      </w:pPr>
      <w:r>
        <w:rPr>
          <w:rFonts w:hint="eastAsia"/>
          <w:b/>
          <w:bCs/>
          <w:szCs w:val="24"/>
        </w:rPr>
        <w:t>（十）</w:t>
      </w:r>
      <w:r>
        <w:rPr>
          <w:rFonts w:hint="eastAsia"/>
          <w:color w:val="000000"/>
          <w:szCs w:val="24"/>
        </w:rPr>
        <w:t>积极参与校</w:t>
      </w:r>
      <w:r w:rsidR="00582691">
        <w:rPr>
          <w:rFonts w:hint="eastAsia"/>
          <w:color w:val="000000"/>
          <w:szCs w:val="24"/>
        </w:rPr>
        <w:t>、</w:t>
      </w:r>
      <w:r>
        <w:rPr>
          <w:rFonts w:hint="eastAsia"/>
          <w:color w:val="000000"/>
          <w:szCs w:val="24"/>
        </w:rPr>
        <w:t>院组织的学术活动并作报告，院级0.3分/次、校级0.5分/次、校级以上1分/次；</w:t>
      </w:r>
      <w:r>
        <w:rPr>
          <w:rFonts w:hint="eastAsia"/>
          <w:szCs w:val="24"/>
        </w:rPr>
        <w:t>此项测评总分值≤2分。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szCs w:val="24"/>
        </w:rPr>
      </w:pPr>
      <w:r>
        <w:rPr>
          <w:rFonts w:hint="eastAsia"/>
          <w:b/>
          <w:bCs/>
          <w:szCs w:val="24"/>
        </w:rPr>
        <w:t>ⅳ</w:t>
      </w:r>
      <w:r>
        <w:rPr>
          <w:rFonts w:hint="eastAsia"/>
          <w:szCs w:val="24"/>
        </w:rPr>
        <w:t>科技成果（论文）表彰类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szCs w:val="24"/>
        </w:rPr>
      </w:pPr>
      <w:r>
        <w:rPr>
          <w:rFonts w:hint="eastAsia"/>
          <w:b/>
          <w:bCs/>
          <w:szCs w:val="24"/>
        </w:rPr>
        <w:t>（十一）</w:t>
      </w:r>
      <w:r>
        <w:rPr>
          <w:rFonts w:hint="eastAsia"/>
          <w:szCs w:val="24"/>
        </w:rPr>
        <w:t>科技成果奖励。测评分值国家级特等奖45分、一等奖40分、二等奖30分；部省级特等奖30分、一等奖20分、二等奖10分；校级按照国家级相应测评分值1/10折算。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szCs w:val="24"/>
        </w:rPr>
      </w:pPr>
      <w:r>
        <w:rPr>
          <w:rFonts w:hint="eastAsia"/>
          <w:b/>
          <w:bCs/>
          <w:szCs w:val="24"/>
        </w:rPr>
        <w:t>（十二）</w:t>
      </w:r>
      <w:r>
        <w:rPr>
          <w:szCs w:val="24"/>
        </w:rPr>
        <w:t>国家级审定品种</w:t>
      </w:r>
      <w:r>
        <w:rPr>
          <w:rFonts w:hint="eastAsia"/>
          <w:szCs w:val="24"/>
        </w:rPr>
        <w:t>测评分值30，部省级审定品种10分。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szCs w:val="24"/>
        </w:rPr>
      </w:pPr>
      <w:r>
        <w:rPr>
          <w:rFonts w:hint="eastAsia"/>
          <w:b/>
          <w:bCs/>
          <w:szCs w:val="24"/>
        </w:rPr>
        <w:t>ⅴ</w:t>
      </w:r>
      <w:r>
        <w:rPr>
          <w:rFonts w:hint="eastAsia"/>
          <w:szCs w:val="24"/>
        </w:rPr>
        <w:t>专利类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leftChars="200" w:left="420"/>
        <w:jc w:val="both"/>
        <w:rPr>
          <w:szCs w:val="24"/>
        </w:rPr>
      </w:pPr>
      <w:r>
        <w:rPr>
          <w:rFonts w:hint="eastAsia"/>
          <w:b/>
          <w:bCs/>
          <w:szCs w:val="24"/>
        </w:rPr>
        <w:t>（十三）</w:t>
      </w:r>
      <w:r>
        <w:rPr>
          <w:rFonts w:hint="eastAsia"/>
          <w:szCs w:val="24"/>
        </w:rPr>
        <w:t>授权国际专利12分/项、国家专利8分/项。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leftChars="200" w:left="420"/>
        <w:jc w:val="both"/>
        <w:rPr>
          <w:szCs w:val="24"/>
        </w:rPr>
      </w:pPr>
      <w:r>
        <w:rPr>
          <w:rFonts w:hint="eastAsia"/>
          <w:b/>
          <w:bCs/>
          <w:szCs w:val="24"/>
        </w:rPr>
        <w:t>（十四）</w:t>
      </w:r>
      <w:r>
        <w:rPr>
          <w:rFonts w:hint="eastAsia"/>
          <w:szCs w:val="24"/>
        </w:rPr>
        <w:t>取得国家专利申请号1分/项且总分≤3分。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b/>
          <w:bCs/>
          <w:color w:val="FF0000"/>
          <w:szCs w:val="24"/>
        </w:rPr>
      </w:pPr>
      <w:r>
        <w:rPr>
          <w:rFonts w:hint="eastAsia"/>
          <w:b/>
          <w:bCs/>
          <w:color w:val="FF0000"/>
          <w:szCs w:val="24"/>
        </w:rPr>
        <w:t xml:space="preserve"> 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b/>
          <w:bCs/>
          <w:color w:val="000000"/>
          <w:szCs w:val="24"/>
        </w:rPr>
      </w:pPr>
      <w:r>
        <w:rPr>
          <w:rFonts w:hint="eastAsia"/>
          <w:b/>
          <w:bCs/>
          <w:color w:val="000000"/>
          <w:szCs w:val="24"/>
        </w:rPr>
        <w:t xml:space="preserve">第八条 </w:t>
      </w:r>
      <w:r>
        <w:rPr>
          <w:rFonts w:hint="eastAsia"/>
          <w:color w:val="000000"/>
          <w:szCs w:val="24"/>
        </w:rPr>
        <w:t>公益（工作）评价</w:t>
      </w:r>
      <w:r>
        <w:rPr>
          <w:rFonts w:ascii="楷体_GB2312" w:eastAsia="楷体_GB2312" w:hAnsi="楷体_GB2312" w:cs="楷体_GB2312" w:hint="eastAsia"/>
          <w:color w:val="000000"/>
          <w:szCs w:val="24"/>
        </w:rPr>
        <w:t>（≤10分）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szCs w:val="24"/>
        </w:rPr>
      </w:pPr>
      <w:r>
        <w:rPr>
          <w:rFonts w:hint="eastAsia"/>
          <w:b/>
          <w:bCs/>
          <w:szCs w:val="24"/>
        </w:rPr>
        <w:t>Ⅰ</w:t>
      </w:r>
      <w:r>
        <w:rPr>
          <w:rFonts w:hint="eastAsia"/>
          <w:szCs w:val="24"/>
        </w:rPr>
        <w:t>导师对研究生的日常表现综合考核≤5</w:t>
      </w:r>
      <w:r>
        <w:rPr>
          <w:szCs w:val="24"/>
        </w:rPr>
        <w:t>分</w:t>
      </w:r>
      <w:r>
        <w:rPr>
          <w:rFonts w:hint="eastAsia"/>
          <w:szCs w:val="24"/>
        </w:rPr>
        <w:t>。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szCs w:val="24"/>
        </w:rPr>
      </w:pPr>
      <w:r>
        <w:rPr>
          <w:rFonts w:hint="eastAsia"/>
          <w:b/>
          <w:bCs/>
          <w:szCs w:val="24"/>
        </w:rPr>
        <w:lastRenderedPageBreak/>
        <w:t>Ⅱ</w:t>
      </w:r>
      <w:r>
        <w:rPr>
          <w:rFonts w:hint="eastAsia"/>
          <w:szCs w:val="24"/>
        </w:rPr>
        <w:t>校院学生</w:t>
      </w:r>
      <w:r>
        <w:rPr>
          <w:szCs w:val="24"/>
        </w:rPr>
        <w:t>工作</w:t>
      </w:r>
      <w:r>
        <w:rPr>
          <w:rFonts w:hint="eastAsia"/>
          <w:szCs w:val="24"/>
        </w:rPr>
        <w:t>及校园文化活动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szCs w:val="24"/>
        </w:rPr>
      </w:pPr>
      <w:r>
        <w:rPr>
          <w:rFonts w:hint="eastAsia"/>
          <w:b/>
          <w:bCs/>
          <w:szCs w:val="24"/>
        </w:rPr>
        <w:t>（一）</w:t>
      </w:r>
      <w:r>
        <w:rPr>
          <w:rFonts w:hint="eastAsia"/>
          <w:szCs w:val="24"/>
        </w:rPr>
        <w:t>根据学校相关规定，分类设置学生</w:t>
      </w:r>
      <w:r>
        <w:rPr>
          <w:szCs w:val="24"/>
        </w:rPr>
        <w:t>干部</w:t>
      </w:r>
      <w:r>
        <w:rPr>
          <w:rFonts w:hint="eastAsia"/>
          <w:szCs w:val="24"/>
        </w:rPr>
        <w:t>测评分值：</w:t>
      </w:r>
      <w:r>
        <w:rPr>
          <w:szCs w:val="24"/>
        </w:rPr>
        <w:t>校院研究生会主席</w:t>
      </w:r>
      <w:r>
        <w:rPr>
          <w:rFonts w:hint="eastAsia"/>
          <w:szCs w:val="24"/>
        </w:rPr>
        <w:t>测评分值≤3</w:t>
      </w:r>
      <w:r>
        <w:rPr>
          <w:szCs w:val="24"/>
        </w:rPr>
        <w:t>分</w:t>
      </w:r>
      <w:r>
        <w:rPr>
          <w:rFonts w:hint="eastAsia"/>
          <w:szCs w:val="24"/>
        </w:rPr>
        <w:t>、副主席≤2.5</w:t>
      </w:r>
      <w:r w:rsidR="0049267F">
        <w:rPr>
          <w:rFonts w:hint="eastAsia"/>
          <w:szCs w:val="24"/>
        </w:rPr>
        <w:t>分；</w:t>
      </w:r>
      <w:r>
        <w:rPr>
          <w:rFonts w:hint="eastAsia"/>
          <w:szCs w:val="24"/>
        </w:rPr>
        <w:t>学生党支部书记、学生会</w:t>
      </w:r>
      <w:r>
        <w:rPr>
          <w:szCs w:val="24"/>
        </w:rPr>
        <w:t>部长级干部</w:t>
      </w:r>
      <w:r>
        <w:rPr>
          <w:rFonts w:hint="eastAsia"/>
          <w:szCs w:val="24"/>
        </w:rPr>
        <w:t>、学院大学生学术发展中心主任、各学生班级</w:t>
      </w:r>
      <w:r>
        <w:rPr>
          <w:szCs w:val="24"/>
        </w:rPr>
        <w:t>班长</w:t>
      </w:r>
      <w:r>
        <w:rPr>
          <w:rFonts w:hint="eastAsia"/>
          <w:szCs w:val="24"/>
        </w:rPr>
        <w:t>、</w:t>
      </w:r>
      <w:r w:rsidR="0049267F">
        <w:rPr>
          <w:rFonts w:hint="eastAsia"/>
          <w:szCs w:val="24"/>
        </w:rPr>
        <w:t>团</w:t>
      </w:r>
      <w:r>
        <w:rPr>
          <w:rFonts w:hint="eastAsia"/>
          <w:szCs w:val="24"/>
        </w:rPr>
        <w:t>支书测评分值≤2</w:t>
      </w:r>
      <w:r>
        <w:rPr>
          <w:szCs w:val="24"/>
        </w:rPr>
        <w:t>分</w:t>
      </w:r>
      <w:r>
        <w:rPr>
          <w:rFonts w:hint="eastAsia"/>
          <w:szCs w:val="24"/>
        </w:rPr>
        <w:t>。</w:t>
      </w:r>
      <w:r>
        <w:rPr>
          <w:szCs w:val="24"/>
        </w:rPr>
        <w:t>具体</w:t>
      </w:r>
      <w:r>
        <w:rPr>
          <w:rFonts w:hint="eastAsia"/>
          <w:szCs w:val="24"/>
        </w:rPr>
        <w:t>测评</w:t>
      </w:r>
      <w:r>
        <w:rPr>
          <w:szCs w:val="24"/>
        </w:rPr>
        <w:t>分值</w:t>
      </w:r>
      <w:r>
        <w:rPr>
          <w:rFonts w:hint="eastAsia"/>
          <w:szCs w:val="24"/>
        </w:rPr>
        <w:t>由学院研究生工作办公室根据学生干部</w:t>
      </w:r>
      <w:r>
        <w:rPr>
          <w:szCs w:val="24"/>
        </w:rPr>
        <w:t>任职时间和工作</w:t>
      </w:r>
      <w:r>
        <w:rPr>
          <w:rFonts w:hint="eastAsia"/>
          <w:szCs w:val="24"/>
        </w:rPr>
        <w:t>实绩评定</w:t>
      </w:r>
      <w:r>
        <w:rPr>
          <w:szCs w:val="24"/>
        </w:rPr>
        <w:t>。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szCs w:val="24"/>
        </w:rPr>
      </w:pPr>
      <w:r>
        <w:rPr>
          <w:rFonts w:hint="eastAsia"/>
          <w:b/>
          <w:color w:val="000000"/>
          <w:szCs w:val="24"/>
        </w:rPr>
        <w:t>（二）</w:t>
      </w:r>
      <w:r>
        <w:rPr>
          <w:rFonts w:hint="eastAsia"/>
          <w:color w:val="000000"/>
          <w:szCs w:val="24"/>
        </w:rPr>
        <w:t>积极参与校园（竞赛）活动。选拔进入</w:t>
      </w:r>
      <w:r>
        <w:rPr>
          <w:color w:val="000000"/>
          <w:szCs w:val="24"/>
        </w:rPr>
        <w:t>学校</w:t>
      </w:r>
      <w:r>
        <w:rPr>
          <w:rFonts w:hint="eastAsia"/>
          <w:color w:val="000000"/>
          <w:szCs w:val="24"/>
        </w:rPr>
        <w:t>竞赛代表队</w:t>
      </w:r>
      <w:r>
        <w:rPr>
          <w:color w:val="000000"/>
          <w:szCs w:val="24"/>
        </w:rPr>
        <w:t>队员，主力队员</w:t>
      </w:r>
      <w:r>
        <w:rPr>
          <w:rFonts w:hint="eastAsia"/>
          <w:color w:val="000000"/>
          <w:szCs w:val="24"/>
        </w:rPr>
        <w:t>测评分值0.5</w:t>
      </w:r>
      <w:r>
        <w:rPr>
          <w:color w:val="000000"/>
          <w:szCs w:val="24"/>
        </w:rPr>
        <w:t>分，替补队员</w:t>
      </w:r>
      <w:r>
        <w:rPr>
          <w:rFonts w:hint="eastAsia"/>
          <w:color w:val="000000"/>
          <w:szCs w:val="24"/>
        </w:rPr>
        <w:t>测评分值</w:t>
      </w:r>
      <w:r>
        <w:rPr>
          <w:color w:val="000000"/>
          <w:szCs w:val="24"/>
        </w:rPr>
        <w:t>0.</w:t>
      </w:r>
      <w:r>
        <w:rPr>
          <w:rFonts w:hint="eastAsia"/>
          <w:color w:val="000000"/>
          <w:szCs w:val="24"/>
        </w:rPr>
        <w:t>3</w:t>
      </w:r>
      <w:r>
        <w:rPr>
          <w:color w:val="000000"/>
          <w:szCs w:val="24"/>
        </w:rPr>
        <w:t>分，未按要求参加训练者不</w:t>
      </w:r>
      <w:r>
        <w:rPr>
          <w:rFonts w:hint="eastAsia"/>
          <w:color w:val="000000"/>
          <w:szCs w:val="24"/>
        </w:rPr>
        <w:t>予</w:t>
      </w:r>
      <w:r>
        <w:rPr>
          <w:color w:val="000000"/>
          <w:szCs w:val="24"/>
        </w:rPr>
        <w:t>加分。</w:t>
      </w:r>
      <w:r>
        <w:rPr>
          <w:rFonts w:hint="eastAsia"/>
          <w:color w:val="000000"/>
          <w:szCs w:val="24"/>
        </w:rPr>
        <w:t>选拔进入学院各类</w:t>
      </w:r>
      <w:r w:rsidR="00582691">
        <w:rPr>
          <w:rFonts w:hint="eastAsia"/>
          <w:color w:val="000000"/>
          <w:szCs w:val="24"/>
        </w:rPr>
        <w:t>文体</w:t>
      </w:r>
      <w:r w:rsidR="00582691">
        <w:rPr>
          <w:color w:val="000000"/>
          <w:szCs w:val="24"/>
        </w:rPr>
        <w:t>、学术</w:t>
      </w:r>
      <w:r>
        <w:rPr>
          <w:rFonts w:hint="eastAsia"/>
          <w:color w:val="000000"/>
          <w:szCs w:val="24"/>
        </w:rPr>
        <w:t>竞赛、社会实践团队</w:t>
      </w:r>
      <w:r w:rsidR="00582691">
        <w:rPr>
          <w:rFonts w:hint="eastAsia"/>
          <w:color w:val="000000"/>
          <w:szCs w:val="24"/>
        </w:rPr>
        <w:t>等</w:t>
      </w:r>
      <w:r w:rsidR="00582691">
        <w:rPr>
          <w:color w:val="000000"/>
          <w:szCs w:val="24"/>
        </w:rPr>
        <w:t>等</w:t>
      </w:r>
      <w:r>
        <w:rPr>
          <w:rFonts w:hint="eastAsia"/>
          <w:color w:val="000000"/>
          <w:szCs w:val="24"/>
        </w:rPr>
        <w:t>，测评分值0.1分</w:t>
      </w:r>
      <w:r>
        <w:rPr>
          <w:rFonts w:hint="eastAsia"/>
          <w:szCs w:val="24"/>
        </w:rPr>
        <w:t>/人</w:t>
      </w:r>
      <w:r>
        <w:rPr>
          <w:rFonts w:hint="eastAsia"/>
          <w:color w:val="000000"/>
          <w:szCs w:val="24"/>
        </w:rPr>
        <w:t>/次；</w:t>
      </w:r>
      <w:r>
        <w:rPr>
          <w:rFonts w:hint="eastAsia"/>
          <w:szCs w:val="24"/>
        </w:rPr>
        <w:t>此项测评总分值≤1.5分。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szCs w:val="24"/>
        </w:rPr>
      </w:pPr>
      <w:r>
        <w:rPr>
          <w:rFonts w:hint="eastAsia"/>
          <w:b/>
          <w:color w:val="000000"/>
          <w:szCs w:val="24"/>
        </w:rPr>
        <w:t>（三）</w:t>
      </w:r>
      <w:r>
        <w:rPr>
          <w:rFonts w:hint="eastAsia"/>
          <w:bCs/>
          <w:color w:val="000000"/>
          <w:szCs w:val="24"/>
        </w:rPr>
        <w:t>参加各类体育、文艺等文化活动获得各级表彰奖励。</w:t>
      </w:r>
      <w:r>
        <w:rPr>
          <w:rFonts w:hint="eastAsia"/>
          <w:szCs w:val="24"/>
        </w:rPr>
        <w:t>测评分值国家级特等奖12分、</w:t>
      </w:r>
      <w:r>
        <w:rPr>
          <w:szCs w:val="24"/>
        </w:rPr>
        <w:t>一等</w:t>
      </w:r>
      <w:r>
        <w:rPr>
          <w:rFonts w:hint="eastAsia"/>
          <w:szCs w:val="24"/>
        </w:rPr>
        <w:t>奖9</w:t>
      </w:r>
      <w:r>
        <w:rPr>
          <w:szCs w:val="24"/>
        </w:rPr>
        <w:t>分</w:t>
      </w:r>
      <w:r>
        <w:rPr>
          <w:rFonts w:hint="eastAsia"/>
          <w:szCs w:val="24"/>
        </w:rPr>
        <w:t>、二</w:t>
      </w:r>
      <w:r>
        <w:rPr>
          <w:szCs w:val="24"/>
        </w:rPr>
        <w:t>等奖</w:t>
      </w:r>
      <w:r>
        <w:rPr>
          <w:rFonts w:hint="eastAsia"/>
          <w:szCs w:val="24"/>
        </w:rPr>
        <w:t>7</w:t>
      </w:r>
      <w:r>
        <w:rPr>
          <w:szCs w:val="24"/>
        </w:rPr>
        <w:t>分，三等奖</w:t>
      </w:r>
      <w:r>
        <w:rPr>
          <w:rFonts w:hint="eastAsia"/>
          <w:szCs w:val="24"/>
        </w:rPr>
        <w:t>5</w:t>
      </w:r>
      <w:r>
        <w:rPr>
          <w:szCs w:val="24"/>
        </w:rPr>
        <w:t>分</w:t>
      </w:r>
      <w:r>
        <w:rPr>
          <w:rFonts w:hint="eastAsia"/>
          <w:szCs w:val="24"/>
        </w:rPr>
        <w:t>、优胜奖及其他2分。部省级特等奖9分、</w:t>
      </w:r>
      <w:r>
        <w:rPr>
          <w:szCs w:val="24"/>
        </w:rPr>
        <w:t>一等</w:t>
      </w:r>
      <w:r>
        <w:rPr>
          <w:rFonts w:hint="eastAsia"/>
          <w:szCs w:val="24"/>
        </w:rPr>
        <w:t>奖7</w:t>
      </w:r>
      <w:r>
        <w:rPr>
          <w:szCs w:val="24"/>
        </w:rPr>
        <w:t>分</w:t>
      </w:r>
      <w:r>
        <w:rPr>
          <w:rFonts w:hint="eastAsia"/>
          <w:szCs w:val="24"/>
        </w:rPr>
        <w:t>、二</w:t>
      </w:r>
      <w:r>
        <w:rPr>
          <w:szCs w:val="24"/>
        </w:rPr>
        <w:t>等奖</w:t>
      </w:r>
      <w:r>
        <w:rPr>
          <w:rFonts w:hint="eastAsia"/>
          <w:szCs w:val="24"/>
        </w:rPr>
        <w:t>5</w:t>
      </w:r>
      <w:r>
        <w:rPr>
          <w:szCs w:val="24"/>
        </w:rPr>
        <w:t>分，三等奖</w:t>
      </w:r>
      <w:r>
        <w:rPr>
          <w:rFonts w:hint="eastAsia"/>
          <w:szCs w:val="24"/>
        </w:rPr>
        <w:t>2</w:t>
      </w:r>
      <w:r>
        <w:rPr>
          <w:szCs w:val="24"/>
        </w:rPr>
        <w:t>分</w:t>
      </w:r>
      <w:r>
        <w:rPr>
          <w:rFonts w:hint="eastAsia"/>
          <w:szCs w:val="24"/>
        </w:rPr>
        <w:t>、优胜奖及其他1分；校级按照</w:t>
      </w:r>
      <w:r>
        <w:rPr>
          <w:szCs w:val="24"/>
        </w:rPr>
        <w:t>国家级</w:t>
      </w:r>
      <w:r>
        <w:rPr>
          <w:rFonts w:hint="eastAsia"/>
          <w:szCs w:val="24"/>
        </w:rPr>
        <w:t>相应测评分值1/10折算。国际文化体育竞赛活动，按照国家级测评相应分值加5分执行。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bCs/>
          <w:color w:val="000000"/>
          <w:szCs w:val="24"/>
        </w:rPr>
      </w:pPr>
      <w:r>
        <w:rPr>
          <w:rFonts w:hint="eastAsia"/>
          <w:b/>
          <w:bCs/>
          <w:szCs w:val="24"/>
        </w:rPr>
        <w:t>Ⅲ</w:t>
      </w:r>
      <w:r>
        <w:rPr>
          <w:rFonts w:hint="eastAsia"/>
          <w:bCs/>
          <w:color w:val="000000"/>
          <w:szCs w:val="24"/>
        </w:rPr>
        <w:t>道德风尚和基础文明行为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szCs w:val="24"/>
        </w:rPr>
      </w:pPr>
      <w:r>
        <w:rPr>
          <w:rFonts w:hint="eastAsia"/>
          <w:b/>
          <w:bCs/>
          <w:szCs w:val="24"/>
        </w:rPr>
        <w:t>（四）</w:t>
      </w:r>
      <w:r>
        <w:rPr>
          <w:rFonts w:hint="eastAsia"/>
          <w:szCs w:val="24"/>
        </w:rPr>
        <w:t>道德高尚，积极从事社会公益（</w:t>
      </w:r>
      <w:r>
        <w:rPr>
          <w:szCs w:val="24"/>
        </w:rPr>
        <w:t>如见义勇为</w:t>
      </w:r>
      <w:r>
        <w:rPr>
          <w:rFonts w:hint="eastAsia"/>
          <w:szCs w:val="24"/>
        </w:rPr>
        <w:t>、</w:t>
      </w:r>
      <w:r>
        <w:rPr>
          <w:szCs w:val="24"/>
        </w:rPr>
        <w:t>抢险救灾</w:t>
      </w:r>
      <w:r>
        <w:rPr>
          <w:rFonts w:hint="eastAsia"/>
          <w:szCs w:val="24"/>
        </w:rPr>
        <w:t>、</w:t>
      </w:r>
      <w:r>
        <w:rPr>
          <w:szCs w:val="24"/>
        </w:rPr>
        <w:t>拾金不昧</w:t>
      </w:r>
      <w:r>
        <w:rPr>
          <w:rFonts w:hint="eastAsia"/>
          <w:szCs w:val="24"/>
        </w:rPr>
        <w:t>、</w:t>
      </w:r>
      <w:r>
        <w:rPr>
          <w:szCs w:val="24"/>
        </w:rPr>
        <w:t>抢救伤残等</w:t>
      </w:r>
      <w:r>
        <w:rPr>
          <w:rFonts w:hint="eastAsia"/>
          <w:szCs w:val="24"/>
        </w:rPr>
        <w:t>）</w:t>
      </w:r>
      <w:r>
        <w:rPr>
          <w:szCs w:val="24"/>
        </w:rPr>
        <w:t>事迹突出，</w:t>
      </w:r>
      <w:r>
        <w:rPr>
          <w:rFonts w:hint="eastAsia"/>
          <w:szCs w:val="24"/>
        </w:rPr>
        <w:t>影响较大，</w:t>
      </w:r>
      <w:r>
        <w:rPr>
          <w:szCs w:val="24"/>
        </w:rPr>
        <w:t>受到</w:t>
      </w:r>
      <w:r>
        <w:rPr>
          <w:rFonts w:hint="eastAsia"/>
          <w:szCs w:val="24"/>
        </w:rPr>
        <w:t>各级政府机关通报</w:t>
      </w:r>
      <w:r>
        <w:rPr>
          <w:szCs w:val="24"/>
        </w:rPr>
        <w:t>表扬</w:t>
      </w:r>
      <w:r>
        <w:rPr>
          <w:rFonts w:hint="eastAsia"/>
          <w:szCs w:val="24"/>
        </w:rPr>
        <w:t>和表彰奖励：测评分值国家级表彰奖励15</w:t>
      </w:r>
      <w:r>
        <w:rPr>
          <w:szCs w:val="24"/>
        </w:rPr>
        <w:t>分、部省</w:t>
      </w:r>
      <w:r>
        <w:rPr>
          <w:rFonts w:hint="eastAsia"/>
          <w:szCs w:val="24"/>
        </w:rPr>
        <w:t>级8</w:t>
      </w:r>
      <w:r>
        <w:rPr>
          <w:szCs w:val="24"/>
        </w:rPr>
        <w:t>分</w:t>
      </w:r>
      <w:r>
        <w:rPr>
          <w:rFonts w:hint="eastAsia"/>
          <w:szCs w:val="24"/>
        </w:rPr>
        <w:t>、地市（厅）级4</w:t>
      </w:r>
      <w:r>
        <w:rPr>
          <w:szCs w:val="24"/>
        </w:rPr>
        <w:t>分</w:t>
      </w:r>
      <w:r>
        <w:rPr>
          <w:rFonts w:hint="eastAsia"/>
          <w:szCs w:val="24"/>
        </w:rPr>
        <w:t>、校级1分。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szCs w:val="24"/>
        </w:rPr>
      </w:pPr>
      <w:r>
        <w:rPr>
          <w:rFonts w:hint="eastAsia"/>
          <w:b/>
          <w:bCs/>
          <w:szCs w:val="24"/>
        </w:rPr>
        <w:t>（五）</w:t>
      </w:r>
      <w:r>
        <w:rPr>
          <w:rFonts w:hint="eastAsia"/>
          <w:szCs w:val="24"/>
        </w:rPr>
        <w:t>在学校安全和卫生等基础文明行为检查评比中获得表彰：测评分值一等奖0.4分/人/次、二等奖0.2分/人/次、三等奖0.1分/人/次；此项测评总分值</w:t>
      </w:r>
      <w:r>
        <w:rPr>
          <w:szCs w:val="24"/>
        </w:rPr>
        <w:t>≤</w:t>
      </w:r>
      <w:r>
        <w:rPr>
          <w:rFonts w:hint="eastAsia"/>
          <w:szCs w:val="24"/>
        </w:rPr>
        <w:t>1</w:t>
      </w:r>
      <w:r>
        <w:rPr>
          <w:szCs w:val="24"/>
        </w:rPr>
        <w:t>分。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szCs w:val="24"/>
        </w:rPr>
      </w:pPr>
      <w:r>
        <w:rPr>
          <w:rFonts w:hint="eastAsia"/>
          <w:b/>
          <w:bCs/>
          <w:color w:val="000000"/>
          <w:szCs w:val="24"/>
        </w:rPr>
        <w:t>第九条</w:t>
      </w:r>
      <w:r>
        <w:rPr>
          <w:rFonts w:hint="eastAsia"/>
          <w:color w:val="000000"/>
          <w:szCs w:val="24"/>
        </w:rPr>
        <w:t xml:space="preserve"> </w:t>
      </w:r>
      <w:r>
        <w:rPr>
          <w:rFonts w:hint="eastAsia"/>
          <w:szCs w:val="24"/>
        </w:rPr>
        <w:t>法纪意识和行为评价</w:t>
      </w:r>
      <w:r>
        <w:rPr>
          <w:rFonts w:ascii="楷体_GB2312" w:eastAsia="楷体_GB2312" w:hAnsi="楷体_GB2312" w:cs="楷体_GB2312" w:hint="eastAsia"/>
          <w:szCs w:val="24"/>
        </w:rPr>
        <w:t>（</w:t>
      </w:r>
      <w:r>
        <w:rPr>
          <w:rFonts w:ascii="楷体_GB2312" w:eastAsia="楷体_GB2312" w:hAnsi="楷体_GB2312" w:cs="楷体_GB2312" w:hint="eastAsia"/>
          <w:color w:val="000000"/>
          <w:szCs w:val="24"/>
        </w:rPr>
        <w:t>≤30分</w:t>
      </w:r>
      <w:r>
        <w:rPr>
          <w:rFonts w:ascii="楷体_GB2312" w:eastAsia="楷体_GB2312" w:hAnsi="楷体_GB2312" w:cs="楷体_GB2312" w:hint="eastAsia"/>
          <w:szCs w:val="24"/>
        </w:rPr>
        <w:t>）</w:t>
      </w:r>
      <w:r>
        <w:rPr>
          <w:rFonts w:hint="eastAsia"/>
          <w:szCs w:val="24"/>
        </w:rPr>
        <w:t>。学年无任何违反法纪校规行为者设基础分30，对以下行为进行测评分值扣分处理：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>（一）</w:t>
      </w:r>
      <w:r>
        <w:rPr>
          <w:rFonts w:hint="eastAsia"/>
          <w:szCs w:val="24"/>
        </w:rPr>
        <w:t>违反法律法规，受到法律处罚，测评分值扣30分。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szCs w:val="24"/>
        </w:rPr>
      </w:pPr>
      <w:r>
        <w:rPr>
          <w:rFonts w:hint="eastAsia"/>
          <w:b/>
          <w:bCs/>
          <w:szCs w:val="24"/>
        </w:rPr>
        <w:t>（二）</w:t>
      </w:r>
      <w:r>
        <w:rPr>
          <w:rFonts w:hint="eastAsia"/>
          <w:szCs w:val="24"/>
        </w:rPr>
        <w:t>违反校纪校规，受到学校、研究生院和学院通报批评者，测评分值分别扣5、3、2分。受到留校（党、团）察看、记过（或撤销党、团类职务）、严重警告和警告者等处分者，测评分值分别扣20、15、10、5分。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szCs w:val="24"/>
        </w:rPr>
      </w:pPr>
      <w:r>
        <w:rPr>
          <w:rFonts w:hint="eastAsia"/>
          <w:b/>
          <w:bCs/>
          <w:szCs w:val="24"/>
        </w:rPr>
        <w:t>（三）</w:t>
      </w:r>
      <w:r>
        <w:rPr>
          <w:rFonts w:hint="eastAsia"/>
          <w:szCs w:val="24"/>
        </w:rPr>
        <w:t xml:space="preserve">未按规定程序履行请假手续，无故不参加校院和实验室安排的学习科研及教育实践活动，按旷课论，扣测评分值0.5分/1学时，旷课一天计8学时。此项评分由实验室、导师和研究生工作办公室共同负责。 </w:t>
      </w:r>
    </w:p>
    <w:p w:rsidR="000207EE" w:rsidRDefault="000207EE" w:rsidP="000207EE">
      <w:pPr>
        <w:pStyle w:val="a5"/>
        <w:adjustRightInd w:val="0"/>
        <w:snapToGrid w:val="0"/>
        <w:spacing w:beforeLines="100" w:before="312" w:beforeAutospacing="0" w:afterLines="100" w:after="312" w:afterAutospacing="0" w:line="500" w:lineRule="exact"/>
        <w:jc w:val="center"/>
        <w:rPr>
          <w:b/>
          <w:bCs/>
        </w:rPr>
      </w:pPr>
      <w:r>
        <w:rPr>
          <w:rFonts w:hint="eastAsia"/>
          <w:b/>
          <w:bCs/>
        </w:rPr>
        <w:lastRenderedPageBreak/>
        <w:t>第三章  组织与实施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szCs w:val="24"/>
        </w:rPr>
      </w:pPr>
      <w:r>
        <w:rPr>
          <w:rFonts w:hint="eastAsia"/>
          <w:b/>
          <w:bCs/>
          <w:szCs w:val="24"/>
        </w:rPr>
        <w:t xml:space="preserve">第十条 </w:t>
      </w:r>
      <w:r>
        <w:rPr>
          <w:rFonts w:hint="eastAsia"/>
          <w:szCs w:val="24"/>
        </w:rPr>
        <w:t>成立学院研究生综合测评工作领导小组，下设办公室。办公室设在研究生工作办公室，负责日常事务。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szCs w:val="24"/>
        </w:rPr>
      </w:pPr>
      <w:r>
        <w:rPr>
          <w:rFonts w:hint="eastAsia"/>
          <w:b/>
          <w:bCs/>
          <w:szCs w:val="24"/>
        </w:rPr>
        <w:t>第十一条</w:t>
      </w:r>
      <w:r>
        <w:rPr>
          <w:rFonts w:hint="eastAsia"/>
          <w:szCs w:val="24"/>
        </w:rPr>
        <w:t xml:space="preserve"> 在测评学年度内，研究生有下列情况之一者，取消其评优评奖资格。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szCs w:val="24"/>
        </w:rPr>
      </w:pPr>
      <w:r>
        <w:rPr>
          <w:rFonts w:hint="eastAsia"/>
          <w:b/>
          <w:bCs/>
          <w:szCs w:val="24"/>
        </w:rPr>
        <w:t>（一）</w:t>
      </w:r>
      <w:r>
        <w:rPr>
          <w:rFonts w:hint="eastAsia"/>
          <w:szCs w:val="24"/>
        </w:rPr>
        <w:t>违反四项基本原则，危害社会安定团结；或寻衅滋事、打架闹事或盗窃公私财物等不良行为，受到行政处罚和法律制裁者。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szCs w:val="24"/>
        </w:rPr>
      </w:pPr>
      <w:r>
        <w:rPr>
          <w:rFonts w:hint="eastAsia"/>
          <w:b/>
          <w:bCs/>
          <w:szCs w:val="24"/>
        </w:rPr>
        <w:t>（二）</w:t>
      </w:r>
      <w:r>
        <w:rPr>
          <w:rFonts w:hint="eastAsia"/>
          <w:szCs w:val="24"/>
        </w:rPr>
        <w:t>违反校纪校规，受到党团行政警告及以上处分者。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szCs w:val="24"/>
        </w:rPr>
      </w:pPr>
      <w:r>
        <w:rPr>
          <w:rFonts w:hint="eastAsia"/>
          <w:b/>
          <w:bCs/>
          <w:szCs w:val="24"/>
        </w:rPr>
        <w:t>（三）</w:t>
      </w:r>
      <w:r>
        <w:rPr>
          <w:rFonts w:hint="eastAsia"/>
          <w:szCs w:val="24"/>
        </w:rPr>
        <w:t>所修课程考试不及格，或在考试考核中、科学研究工作中舞弊、弄虚作假者，学术不端者。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szCs w:val="24"/>
        </w:rPr>
      </w:pPr>
      <w:r>
        <w:rPr>
          <w:rFonts w:hint="eastAsia"/>
          <w:b/>
          <w:bCs/>
          <w:szCs w:val="24"/>
        </w:rPr>
        <w:t>（四）</w:t>
      </w:r>
      <w:r>
        <w:rPr>
          <w:rFonts w:hint="eastAsia"/>
          <w:szCs w:val="24"/>
        </w:rPr>
        <w:t>违反学校实验实习、生活管理相关规定，造成公共财产重大损失者。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szCs w:val="24"/>
        </w:rPr>
      </w:pPr>
      <w:r>
        <w:rPr>
          <w:rFonts w:hint="eastAsia"/>
          <w:b/>
          <w:bCs/>
          <w:szCs w:val="24"/>
        </w:rPr>
        <w:t>（五）</w:t>
      </w:r>
      <w:r>
        <w:rPr>
          <w:rFonts w:hint="eastAsia"/>
          <w:szCs w:val="24"/>
        </w:rPr>
        <w:t>无故不参加校院和实验室安排的学习科研及教育实践活动，经教育无效者。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szCs w:val="24"/>
        </w:rPr>
      </w:pPr>
      <w:r>
        <w:rPr>
          <w:rFonts w:hint="eastAsia"/>
          <w:b/>
          <w:bCs/>
          <w:szCs w:val="24"/>
        </w:rPr>
        <w:t>（六）</w:t>
      </w:r>
      <w:r>
        <w:rPr>
          <w:rFonts w:hint="eastAsia"/>
          <w:szCs w:val="24"/>
        </w:rPr>
        <w:t>不参加测评或在测评中弄虚作假者。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szCs w:val="24"/>
        </w:rPr>
      </w:pPr>
      <w:r>
        <w:rPr>
          <w:rFonts w:hint="eastAsia"/>
          <w:b/>
          <w:bCs/>
          <w:szCs w:val="24"/>
        </w:rPr>
        <w:t>（七）</w:t>
      </w:r>
      <w:r>
        <w:rPr>
          <w:rFonts w:hint="eastAsia"/>
          <w:szCs w:val="24"/>
        </w:rPr>
        <w:t>其他违反法纪校规和社会公序良俗的行为。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szCs w:val="24"/>
        </w:rPr>
      </w:pPr>
      <w:r>
        <w:rPr>
          <w:rFonts w:hint="eastAsia"/>
          <w:b/>
          <w:bCs/>
          <w:szCs w:val="24"/>
        </w:rPr>
        <w:t>第十二条</w:t>
      </w:r>
      <w:r>
        <w:rPr>
          <w:rFonts w:hint="eastAsia"/>
          <w:szCs w:val="24"/>
        </w:rPr>
        <w:t xml:space="preserve"> 测评材料要求与测评分值计算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szCs w:val="24"/>
        </w:rPr>
      </w:pPr>
      <w:r>
        <w:rPr>
          <w:rFonts w:hint="eastAsia"/>
          <w:b/>
          <w:bCs/>
          <w:szCs w:val="24"/>
        </w:rPr>
        <w:t>（一）</w:t>
      </w:r>
      <w:r>
        <w:rPr>
          <w:rFonts w:hint="eastAsia"/>
          <w:szCs w:val="24"/>
        </w:rPr>
        <w:t>测评材料</w:t>
      </w:r>
      <w:r>
        <w:rPr>
          <w:szCs w:val="24"/>
        </w:rPr>
        <w:t>须是本</w:t>
      </w:r>
      <w:r>
        <w:rPr>
          <w:rFonts w:hint="eastAsia"/>
          <w:szCs w:val="24"/>
        </w:rPr>
        <w:t>学</w:t>
      </w:r>
      <w:r>
        <w:rPr>
          <w:szCs w:val="24"/>
        </w:rPr>
        <w:t>年度内</w:t>
      </w:r>
      <w:r>
        <w:rPr>
          <w:rFonts w:hint="eastAsia"/>
          <w:szCs w:val="24"/>
        </w:rPr>
        <w:t>取</w:t>
      </w:r>
      <w:r>
        <w:rPr>
          <w:szCs w:val="24"/>
        </w:rPr>
        <w:t>得</w:t>
      </w:r>
      <w:r>
        <w:rPr>
          <w:rFonts w:hint="eastAsia"/>
          <w:szCs w:val="24"/>
        </w:rPr>
        <w:t>或发表的；</w:t>
      </w:r>
      <w:r>
        <w:rPr>
          <w:rFonts w:hint="eastAsia"/>
          <w:color w:val="000000"/>
          <w:szCs w:val="24"/>
        </w:rPr>
        <w:t>同一材料只能测评一次</w:t>
      </w:r>
      <w:r>
        <w:rPr>
          <w:rFonts w:hint="eastAsia"/>
          <w:szCs w:val="24"/>
        </w:rPr>
        <w:t>。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color w:val="000000"/>
          <w:szCs w:val="24"/>
        </w:rPr>
      </w:pPr>
      <w:r>
        <w:rPr>
          <w:rFonts w:hint="eastAsia"/>
          <w:b/>
          <w:bCs/>
          <w:szCs w:val="24"/>
        </w:rPr>
        <w:t>（二）</w:t>
      </w:r>
      <w:r>
        <w:rPr>
          <w:rFonts w:hint="eastAsia"/>
          <w:szCs w:val="24"/>
        </w:rPr>
        <w:t>论文、专著需要提交正式出版物（复印件），或在线发表全文打印件，或编辑部正式录用函，或会议论文集、邀请函等；成果（活动）奖励、专利等需要获奖证书、专利证书或其他能够有效证明的正式文件。</w:t>
      </w:r>
      <w:r>
        <w:rPr>
          <w:rFonts w:hint="eastAsia"/>
          <w:color w:val="000000"/>
          <w:szCs w:val="24"/>
        </w:rPr>
        <w:t>国际学术会议须有正式的会议通知（邀请）函。</w:t>
      </w:r>
      <w:r>
        <w:rPr>
          <w:rFonts w:hint="eastAsia"/>
          <w:szCs w:val="24"/>
        </w:rPr>
        <w:t>所有原始材料及证明材料需要导师签字确认。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szCs w:val="24"/>
        </w:rPr>
      </w:pPr>
      <w:r>
        <w:rPr>
          <w:rFonts w:hint="eastAsia"/>
          <w:b/>
          <w:bCs/>
          <w:szCs w:val="24"/>
        </w:rPr>
        <w:t>（三）</w:t>
      </w:r>
      <w:r>
        <w:rPr>
          <w:rFonts w:hint="eastAsia"/>
          <w:szCs w:val="24"/>
        </w:rPr>
        <w:t>一级学报、中文核心期刊、</w:t>
      </w:r>
      <w:r>
        <w:rPr>
          <w:szCs w:val="24"/>
        </w:rPr>
        <w:t>SCI</w:t>
      </w:r>
      <w:r>
        <w:rPr>
          <w:rFonts w:hint="eastAsia"/>
          <w:szCs w:val="24"/>
        </w:rPr>
        <w:t>等收录刊物以学校研究生院公布期刊为准；杂志IF以测评前一年公布的五年平均影响因子为准；各类杂志增刊论文一律不予加分。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color w:val="000000"/>
          <w:szCs w:val="24"/>
        </w:rPr>
      </w:pPr>
      <w:r>
        <w:rPr>
          <w:rFonts w:hint="eastAsia"/>
          <w:b/>
          <w:bCs/>
          <w:color w:val="000000"/>
          <w:szCs w:val="24"/>
        </w:rPr>
        <w:t>（四）</w:t>
      </w:r>
      <w:r>
        <w:rPr>
          <w:rFonts w:hint="eastAsia"/>
          <w:color w:val="000000"/>
          <w:szCs w:val="24"/>
        </w:rPr>
        <w:t>发表论文均指正文，各类“摘要、综述”型论文，测评分值按相应分值1/3折算。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color w:val="000000"/>
          <w:szCs w:val="24"/>
        </w:rPr>
      </w:pPr>
      <w:r>
        <w:rPr>
          <w:rFonts w:hint="eastAsia"/>
          <w:b/>
          <w:bCs/>
          <w:color w:val="000000"/>
          <w:szCs w:val="24"/>
        </w:rPr>
        <w:t>（五）</w:t>
      </w:r>
      <w:r>
        <w:rPr>
          <w:rFonts w:hint="eastAsia"/>
          <w:color w:val="000000"/>
          <w:szCs w:val="24"/>
        </w:rPr>
        <w:t>专著</w:t>
      </w:r>
      <w:r>
        <w:rPr>
          <w:color w:val="000000"/>
          <w:szCs w:val="24"/>
        </w:rPr>
        <w:t>均</w:t>
      </w:r>
      <w:r>
        <w:rPr>
          <w:rFonts w:hint="eastAsia"/>
          <w:color w:val="000000"/>
          <w:szCs w:val="24"/>
        </w:rPr>
        <w:t>指</w:t>
      </w:r>
      <w:r>
        <w:rPr>
          <w:color w:val="000000"/>
          <w:szCs w:val="24"/>
        </w:rPr>
        <w:t>国家级出版社正式出版</w:t>
      </w:r>
      <w:r>
        <w:rPr>
          <w:rFonts w:hint="eastAsia"/>
          <w:color w:val="000000"/>
          <w:szCs w:val="24"/>
        </w:rPr>
        <w:t>物；其他</w:t>
      </w:r>
      <w:r>
        <w:rPr>
          <w:color w:val="000000"/>
          <w:szCs w:val="24"/>
        </w:rPr>
        <w:t>出版社</w:t>
      </w:r>
      <w:r>
        <w:rPr>
          <w:rFonts w:hint="eastAsia"/>
          <w:color w:val="000000"/>
          <w:szCs w:val="24"/>
        </w:rPr>
        <w:t>按50%折算测评分值。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szCs w:val="24"/>
        </w:rPr>
      </w:pPr>
      <w:r>
        <w:rPr>
          <w:rFonts w:hint="eastAsia"/>
          <w:b/>
          <w:bCs/>
          <w:szCs w:val="24"/>
        </w:rPr>
        <w:t>（六）</w:t>
      </w:r>
      <w:r>
        <w:rPr>
          <w:rFonts w:hint="eastAsia"/>
          <w:szCs w:val="24"/>
        </w:rPr>
        <w:t>个人署名。上述测评分值均指研究生为第一署名。多人共同第一署名：排序n测评分值按照（1—60%）</w:t>
      </w:r>
      <w:r>
        <w:rPr>
          <w:rFonts w:hint="eastAsia"/>
          <w:sz w:val="28"/>
          <w:szCs w:val="28"/>
          <w:vertAlign w:val="superscript"/>
        </w:rPr>
        <w:t>n-1</w:t>
      </w:r>
      <w:r>
        <w:rPr>
          <w:rFonts w:hint="eastAsia"/>
          <w:sz w:val="28"/>
          <w:szCs w:val="28"/>
        </w:rPr>
        <w:t>（n≥1）</w:t>
      </w:r>
      <w:r>
        <w:rPr>
          <w:rFonts w:hint="eastAsia"/>
          <w:szCs w:val="24"/>
        </w:rPr>
        <w:t>的权重折算个人的相应测评分值。非第一署名：排序第n者，测评分值按n个共同第一署名n对应测评分值的50%</w:t>
      </w:r>
      <w:r>
        <w:rPr>
          <w:rFonts w:hint="eastAsia"/>
          <w:szCs w:val="24"/>
        </w:rPr>
        <w:lastRenderedPageBreak/>
        <w:t>折算。论文、专利、学术竞赛获奖署名排序不忽略导师排名，且专利必须为研究生第一署名；科技成果、审定品种署名可以忽略导师排名。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szCs w:val="24"/>
        </w:rPr>
      </w:pPr>
      <w:r>
        <w:rPr>
          <w:rFonts w:hint="eastAsia"/>
          <w:b/>
          <w:bCs/>
          <w:szCs w:val="24"/>
        </w:rPr>
        <w:t>（七）</w:t>
      </w:r>
      <w:r>
        <w:rPr>
          <w:rFonts w:hint="eastAsia"/>
          <w:szCs w:val="24"/>
        </w:rPr>
        <w:t>单位署名。论文、成果、奖项等对应的测评分值均指华中农业大学为第一署名单位，如学校署名排序n，则按1/n折算相应测评分值；无学校署名的材料不能参加测评。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szCs w:val="24"/>
        </w:rPr>
      </w:pPr>
      <w:r>
        <w:rPr>
          <w:rFonts w:hint="eastAsia"/>
          <w:b/>
          <w:bCs/>
          <w:szCs w:val="24"/>
        </w:rPr>
        <w:t>（八）</w:t>
      </w:r>
      <w:r>
        <w:rPr>
          <w:rFonts w:hint="eastAsia"/>
          <w:szCs w:val="24"/>
        </w:rPr>
        <w:t>担任公益工作不满一学年，按照n/9×“测评分值”折算（n实际工作月）。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szCs w:val="24"/>
        </w:rPr>
      </w:pPr>
      <w:r>
        <w:rPr>
          <w:rFonts w:hint="eastAsia"/>
          <w:b/>
          <w:bCs/>
          <w:szCs w:val="24"/>
        </w:rPr>
        <w:t>（九）</w:t>
      </w:r>
      <w:r>
        <w:rPr>
          <w:rFonts w:hint="eastAsia"/>
          <w:color w:val="000000"/>
          <w:szCs w:val="24"/>
        </w:rPr>
        <w:t>同一成果发生的测评分值，只取最高分值。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szCs w:val="24"/>
        </w:rPr>
      </w:pPr>
      <w:r>
        <w:rPr>
          <w:rFonts w:hint="eastAsia"/>
          <w:b/>
          <w:bCs/>
          <w:szCs w:val="24"/>
        </w:rPr>
        <w:t xml:space="preserve">第十三条 </w:t>
      </w:r>
      <w:r>
        <w:rPr>
          <w:rFonts w:hint="eastAsia"/>
          <w:szCs w:val="24"/>
        </w:rPr>
        <w:t>工作程序和时间安排。按照学生申报、班级测评、学院审核、评审、学校审定等主要程序，组织测评工作。一二年级研究生在新学年第一个月内开始测评，三年级在毕业前进行。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szCs w:val="24"/>
        </w:rPr>
      </w:pPr>
      <w:r>
        <w:rPr>
          <w:rFonts w:hint="eastAsia"/>
          <w:b/>
          <w:bCs/>
          <w:szCs w:val="24"/>
        </w:rPr>
        <w:t>（一）</w:t>
      </w:r>
      <w:r>
        <w:rPr>
          <w:rFonts w:hint="eastAsia"/>
          <w:szCs w:val="24"/>
        </w:rPr>
        <w:t>学生申报。按测评工作要求，研究生向所在班级班委会提交测评材料和有效支撑材料，不提交测评材料者视为自动放弃。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szCs w:val="24"/>
        </w:rPr>
      </w:pPr>
      <w:r>
        <w:rPr>
          <w:rFonts w:hint="eastAsia"/>
          <w:b/>
          <w:bCs/>
          <w:szCs w:val="24"/>
        </w:rPr>
        <w:t>（二）</w:t>
      </w:r>
      <w:r>
        <w:rPr>
          <w:rFonts w:hint="eastAsia"/>
          <w:szCs w:val="24"/>
        </w:rPr>
        <w:t>班级测评。班委会负责收集申报材料，核查各项分数，修正错漏；整理、统计、汇总、向学院提交申报材料。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szCs w:val="24"/>
        </w:rPr>
      </w:pPr>
      <w:r>
        <w:rPr>
          <w:rFonts w:hint="eastAsia"/>
          <w:b/>
          <w:bCs/>
          <w:szCs w:val="24"/>
        </w:rPr>
        <w:t>（三）</w:t>
      </w:r>
      <w:r>
        <w:rPr>
          <w:rFonts w:hint="eastAsia"/>
          <w:szCs w:val="24"/>
        </w:rPr>
        <w:t>学院审核、评审。学院研究生工作办公室审核通过后，提交学院研究生综合测评工作领导小组评审，并公示评审结果。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szCs w:val="24"/>
        </w:rPr>
      </w:pPr>
      <w:r>
        <w:rPr>
          <w:rFonts w:hint="eastAsia"/>
          <w:b/>
          <w:bCs/>
          <w:szCs w:val="24"/>
        </w:rPr>
        <w:t>（四）</w:t>
      </w:r>
      <w:r>
        <w:rPr>
          <w:rFonts w:hint="eastAsia"/>
          <w:szCs w:val="24"/>
        </w:rPr>
        <w:t>学校审定。公示无异议后，评审结果报学校审定。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szCs w:val="24"/>
        </w:rPr>
      </w:pPr>
      <w:r>
        <w:rPr>
          <w:rFonts w:hint="eastAsia"/>
          <w:b/>
          <w:bCs/>
          <w:szCs w:val="24"/>
        </w:rPr>
        <w:t xml:space="preserve">第十四条 </w:t>
      </w:r>
      <w:r>
        <w:rPr>
          <w:rFonts w:hint="eastAsia"/>
          <w:szCs w:val="24"/>
        </w:rPr>
        <w:t>本办法具体解释权归学院研究生综合测评工作领导小组。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2"/>
        <w:jc w:val="both"/>
        <w:rPr>
          <w:szCs w:val="24"/>
        </w:rPr>
      </w:pPr>
      <w:r>
        <w:rPr>
          <w:rFonts w:hint="eastAsia"/>
          <w:b/>
          <w:bCs/>
          <w:szCs w:val="24"/>
        </w:rPr>
        <w:t xml:space="preserve">第十五条 </w:t>
      </w:r>
      <w:r>
        <w:rPr>
          <w:rFonts w:hint="eastAsia"/>
          <w:szCs w:val="24"/>
        </w:rPr>
        <w:t>本办法自颁布之日开始执行，此前测评办法同时废止。</w:t>
      </w: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0"/>
        <w:jc w:val="both"/>
        <w:rPr>
          <w:szCs w:val="24"/>
        </w:rPr>
      </w:pPr>
    </w:p>
    <w:p w:rsid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0"/>
        <w:jc w:val="right"/>
        <w:rPr>
          <w:szCs w:val="24"/>
        </w:rPr>
      </w:pPr>
      <w:r>
        <w:rPr>
          <w:rFonts w:hint="eastAsia"/>
          <w:szCs w:val="24"/>
        </w:rPr>
        <w:t>植物科学技术学院</w:t>
      </w:r>
    </w:p>
    <w:p w:rsidR="000207EE" w:rsidRPr="000207EE" w:rsidRDefault="000207EE" w:rsidP="000207EE">
      <w:pPr>
        <w:pStyle w:val="a5"/>
        <w:snapToGrid w:val="0"/>
        <w:spacing w:beforeLines="50" w:before="156" w:beforeAutospacing="0" w:afterLines="50" w:after="156" w:afterAutospacing="0" w:line="300" w:lineRule="auto"/>
        <w:jc w:val="right"/>
        <w:rPr>
          <w:rFonts w:ascii="楷体_GB2312" w:eastAsia="楷体_GB2312" w:hAnsi="楷体_GB2312" w:cs="楷体_GB2312"/>
          <w:bCs/>
          <w:sz w:val="28"/>
          <w:szCs w:val="28"/>
        </w:rPr>
      </w:pPr>
      <w:r w:rsidRPr="000207EE">
        <w:rPr>
          <w:rFonts w:ascii="楷体_GB2312" w:eastAsia="楷体_GB2312" w:hAnsi="楷体_GB2312" w:cs="楷体_GB2312" w:hint="eastAsia"/>
          <w:bCs/>
          <w:sz w:val="28"/>
          <w:szCs w:val="28"/>
        </w:rPr>
        <w:t>201</w:t>
      </w:r>
      <w:r w:rsidR="00593F3D">
        <w:rPr>
          <w:rFonts w:ascii="楷体_GB2312" w:eastAsia="楷体_GB2312" w:hAnsi="楷体_GB2312" w:cs="楷体_GB2312"/>
          <w:bCs/>
          <w:sz w:val="28"/>
          <w:szCs w:val="28"/>
        </w:rPr>
        <w:t>7</w:t>
      </w:r>
      <w:r w:rsidRPr="000207EE">
        <w:rPr>
          <w:rFonts w:ascii="楷体_GB2312" w:eastAsia="楷体_GB2312" w:hAnsi="楷体_GB2312" w:cs="楷体_GB2312" w:hint="eastAsia"/>
          <w:bCs/>
          <w:sz w:val="28"/>
          <w:szCs w:val="28"/>
        </w:rPr>
        <w:t>年</w:t>
      </w:r>
      <w:r w:rsidR="00593F3D">
        <w:rPr>
          <w:rFonts w:ascii="楷体_GB2312" w:eastAsia="楷体_GB2312" w:hAnsi="楷体_GB2312" w:cs="楷体_GB2312"/>
          <w:bCs/>
          <w:sz w:val="28"/>
          <w:szCs w:val="28"/>
        </w:rPr>
        <w:t>9</w:t>
      </w:r>
      <w:r w:rsidRPr="000207EE">
        <w:rPr>
          <w:rFonts w:ascii="楷体_GB2312" w:eastAsia="楷体_GB2312" w:hAnsi="楷体_GB2312" w:cs="楷体_GB2312" w:hint="eastAsia"/>
          <w:bCs/>
          <w:sz w:val="28"/>
          <w:szCs w:val="28"/>
        </w:rPr>
        <w:t xml:space="preserve">月 </w:t>
      </w:r>
    </w:p>
    <w:p w:rsidR="000207EE" w:rsidRPr="000207EE" w:rsidRDefault="000207EE" w:rsidP="000207EE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0"/>
        <w:jc w:val="right"/>
        <w:rPr>
          <w:szCs w:val="24"/>
        </w:rPr>
      </w:pPr>
    </w:p>
    <w:p w:rsidR="00CC5D10" w:rsidRPr="000207EE" w:rsidRDefault="00CC5D10"/>
    <w:sectPr w:rsidR="00CC5D10" w:rsidRPr="00020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CAD" w:rsidRDefault="004E5CAD" w:rsidP="000207EE">
      <w:r>
        <w:separator/>
      </w:r>
    </w:p>
  </w:endnote>
  <w:endnote w:type="continuationSeparator" w:id="0">
    <w:p w:rsidR="004E5CAD" w:rsidRDefault="004E5CAD" w:rsidP="0002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PUA">
    <w:altName w:val="宋体"/>
    <w:charset w:val="86"/>
    <w:family w:val="auto"/>
    <w:pitch w:val="default"/>
    <w:sig w:usb0="00000000" w:usb1="10000000" w:usb2="00000000" w:usb3="00000000" w:csb0="00040000" w:csb1="00000000"/>
  </w:font>
  <w:font w:name="楷体_GB2312">
    <w:altName w:val="楷体"/>
    <w:charset w:val="01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CAD" w:rsidRDefault="004E5CAD" w:rsidP="000207EE">
      <w:r>
        <w:separator/>
      </w:r>
    </w:p>
  </w:footnote>
  <w:footnote w:type="continuationSeparator" w:id="0">
    <w:p w:rsidR="004E5CAD" w:rsidRDefault="004E5CAD" w:rsidP="00020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97"/>
    <w:rsid w:val="00017B26"/>
    <w:rsid w:val="000207EE"/>
    <w:rsid w:val="000A2054"/>
    <w:rsid w:val="001F0197"/>
    <w:rsid w:val="00232F4D"/>
    <w:rsid w:val="002B2567"/>
    <w:rsid w:val="002C3077"/>
    <w:rsid w:val="00331451"/>
    <w:rsid w:val="003372C4"/>
    <w:rsid w:val="00452054"/>
    <w:rsid w:val="0049267F"/>
    <w:rsid w:val="004E5CAD"/>
    <w:rsid w:val="00582691"/>
    <w:rsid w:val="00593F3D"/>
    <w:rsid w:val="005E75DA"/>
    <w:rsid w:val="00721F56"/>
    <w:rsid w:val="007F3E7F"/>
    <w:rsid w:val="00AB7C4D"/>
    <w:rsid w:val="00C32E76"/>
    <w:rsid w:val="00C367FA"/>
    <w:rsid w:val="00CC5D10"/>
    <w:rsid w:val="00DC6925"/>
    <w:rsid w:val="00E543F4"/>
    <w:rsid w:val="00ED097D"/>
    <w:rsid w:val="00F013D5"/>
    <w:rsid w:val="00F2442B"/>
    <w:rsid w:val="00FC4B6C"/>
    <w:rsid w:val="00FF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C82695-F405-4F70-A046-BDD6B8F5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0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07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0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07EE"/>
    <w:rPr>
      <w:sz w:val="18"/>
      <w:szCs w:val="18"/>
    </w:rPr>
  </w:style>
  <w:style w:type="paragraph" w:styleId="a5">
    <w:name w:val="Normal (Web)"/>
    <w:basedOn w:val="a"/>
    <w:rsid w:val="000207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8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881</Words>
  <Characters>5024</Characters>
  <Application>Microsoft Office Word</Application>
  <DocSecurity>0</DocSecurity>
  <Lines>41</Lines>
  <Paragraphs>11</Paragraphs>
  <ScaleCrop>false</ScaleCrop>
  <Company/>
  <LinksUpToDate>false</LinksUpToDate>
  <CharactersWithSpaces>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李志强</dc:creator>
  <cp:keywords/>
  <dc:description/>
  <cp:lastModifiedBy>李志强</cp:lastModifiedBy>
  <cp:revision>2</cp:revision>
  <dcterms:created xsi:type="dcterms:W3CDTF">2017-09-12T07:42:00Z</dcterms:created>
  <dcterms:modified xsi:type="dcterms:W3CDTF">2017-09-12T07:42:00Z</dcterms:modified>
</cp:coreProperties>
</file>